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63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63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ind w:left="0" w:right="0" w:firstLine="63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ind w:left="0" w:right="0" w:firstLine="63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ind w:left="0" w:right="0" w:firstLine="630"/>
        <w:jc w:val="center"/>
        <w:rPr>
          <w:rFonts w:ascii="Times New Roman;serif" w:hAnsi="Times New Roman;serif"/>
          <w:b w:val="false"/>
          <w:color w:val="000000"/>
          <w:sz w:val="12"/>
          <w:u w:val="single"/>
        </w:rPr>
      </w:pPr>
      <w:r>
        <w:rPr>
          <w:rFonts w:ascii="Times New Roman;serif" w:hAnsi="Times New Roman;serif"/>
          <w:b w:val="false"/>
          <w:color w:val="000000"/>
          <w:sz w:val="12"/>
          <w:u w:val="single"/>
        </w:rPr>
        <w:t>_____________________________________________________</w:t>
      </w:r>
    </w:p>
    <w:p>
      <w:pPr>
        <w:pStyle w:val="TextBody"/>
        <w:bidi w:val="0"/>
        <w:spacing w:lineRule="auto" w:line="288" w:before="120" w:after="283"/>
        <w:ind w:left="0" w:right="0" w:firstLine="63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ind w:left="0" w:right="0" w:firstLine="630"/>
        <w:jc w:val="center"/>
        <w:rPr>
          <w:rFonts w:ascii="Times New Roman;serif" w:hAnsi="Times New Roman;serif"/>
          <w:b w:val="false"/>
          <w:color w:val="000000"/>
          <w:sz w:val="12"/>
          <w:u w:val="single"/>
        </w:rPr>
      </w:pPr>
      <w:r>
        <w:rPr>
          <w:rFonts w:ascii="Times New Roman;serif" w:hAnsi="Times New Roman;serif"/>
          <w:b w:val="false"/>
          <w:color w:val="000000"/>
          <w:sz w:val="12"/>
          <w:u w:val="single"/>
        </w:rPr>
        <w:t>_____________________________________________________</w:t>
      </w:r>
    </w:p>
    <w:p>
      <w:pPr>
        <w:pStyle w:val="TextBody"/>
        <w:bidi w:val="0"/>
        <w:spacing w:lineRule="auto" w:line="288" w:before="0" w:after="0"/>
        <w:ind w:left="0" w:right="0" w:firstLine="630"/>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63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ind w:left="0" w:right="0" w:firstLine="63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ind w:left="0" w:right="0" w:firstLine="630"/>
        <w:jc w:val="center"/>
        <w:rPr/>
      </w:pPr>
      <w:r>
        <w:rPr>
          <w:rFonts w:ascii="Times New Roman;serif" w:hAnsi="Times New Roman;serif"/>
          <w:b/>
          <w:color w:val="000000"/>
          <w:sz w:val="16"/>
        </w:rPr>
        <w:t>For the transition period from</w:t>
      </w:r>
      <w:r>
        <w:rPr>
          <w:color w:val="000000"/>
          <w:u w:val="single"/>
        </w:rPr>
        <w:t>              </w:t>
      </w:r>
      <w:r>
        <w:rPr>
          <w:color w:val="000000"/>
        </w:rPr>
        <w:t xml:space="preserve"> </w:t>
      </w:r>
      <w:r>
        <w:rPr>
          <w:rFonts w:ascii="Times New Roman;serif" w:hAnsi="Times New Roman;serif"/>
          <w:b/>
          <w:color w:val="000000"/>
          <w:sz w:val="16"/>
        </w:rPr>
        <w:t>to</w:t>
      </w:r>
      <w:r>
        <w:rPr>
          <w:color w:val="000000"/>
          <w:u w:val="single"/>
        </w:rPr>
        <w:t>                    </w:t>
      </w:r>
    </w:p>
    <w:p>
      <w:pPr>
        <w:pStyle w:val="TextBody"/>
        <w:bidi w:val="0"/>
        <w:spacing w:lineRule="auto" w:line="288" w:before="60" w:after="283"/>
        <w:ind w:left="0" w:right="0" w:firstLine="630"/>
        <w:jc w:val="center"/>
        <w:rPr>
          <w:rFonts w:ascii="Times New Roman;serif" w:hAnsi="Times New Roman;serif"/>
          <w:b/>
          <w:color w:val="000000"/>
          <w:sz w:val="16"/>
        </w:rPr>
      </w:pPr>
      <w:r>
        <w:rPr>
          <w:rFonts w:ascii="Times New Roman;serif" w:hAnsi="Times New Roman;serif"/>
          <w:b/>
          <w:color w:val="000000"/>
          <w:sz w:val="16"/>
        </w:rPr>
        <w:t xml:space="preserve">Commission file number: 001-38210 </w:t>
      </w:r>
    </w:p>
    <w:p>
      <w:pPr>
        <w:pStyle w:val="TextBody"/>
        <w:bidi w:val="0"/>
        <w:spacing w:lineRule="auto" w:line="288" w:before="0" w:after="0"/>
        <w:ind w:left="0" w:right="0" w:firstLine="630"/>
        <w:jc w:val="center"/>
        <w:rPr>
          <w:rFonts w:ascii="Times New Roman;serif" w:hAnsi="Times New Roman;serif"/>
          <w:b w:val="false"/>
          <w:color w:val="000000"/>
          <w:sz w:val="12"/>
          <w:u w:val="single"/>
        </w:rPr>
      </w:pPr>
      <w:r>
        <w:rPr>
          <w:rFonts w:ascii="Times New Roman;serif" w:hAnsi="Times New Roman;serif"/>
          <w:b w:val="false"/>
          <w:color w:val="000000"/>
          <w:sz w:val="12"/>
          <w:u w:val="single"/>
        </w:rPr>
        <w:t>_____________________________________________________</w:t>
      </w:r>
    </w:p>
    <w:p>
      <w:pPr>
        <w:pStyle w:val="TextBody"/>
        <w:bidi w:val="0"/>
        <w:spacing w:lineRule="auto" w:line="288" w:before="60" w:after="283"/>
        <w:ind w:left="0" w:right="0" w:firstLine="630"/>
        <w:jc w:val="center"/>
        <w:rPr>
          <w:rFonts w:ascii="Times New Roman;serif" w:hAnsi="Times New Roman;serif"/>
          <w:b/>
          <w:color w:val="000000"/>
          <w:sz w:val="44"/>
        </w:rPr>
      </w:pPr>
      <w:r>
        <w:rPr>
          <w:rFonts w:ascii="Times New Roman;serif" w:hAnsi="Times New Roman;serif"/>
          <w:b/>
          <w:color w:val="000000"/>
          <w:sz w:val="44"/>
        </w:rPr>
        <w:t xml:space="preserve">Krystal Biotech, Inc. </w:t>
      </w:r>
    </w:p>
    <w:p>
      <w:pPr>
        <w:pStyle w:val="TextBody"/>
        <w:bidi w:val="0"/>
        <w:spacing w:lineRule="auto" w:line="288" w:before="0" w:after="0"/>
        <w:ind w:left="0" w:right="0" w:firstLine="63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ind w:left="0" w:right="0" w:firstLine="630"/>
        <w:jc w:val="center"/>
        <w:rPr>
          <w:rFonts w:ascii="Times New Roman;serif" w:hAnsi="Times New Roman;serif"/>
          <w:b w:val="false"/>
          <w:color w:val="000000"/>
          <w:sz w:val="12"/>
          <w:u w:val="single"/>
        </w:rPr>
      </w:pPr>
      <w:r>
        <w:rPr>
          <w:rFonts w:ascii="Times New Roman;serif" w:hAnsi="Times New Roman;serif"/>
          <w:b w:val="false"/>
          <w:color w:val="000000"/>
          <w:sz w:val="12"/>
          <w:u w:val="single"/>
        </w:rPr>
        <w:t>_____________________________________________________</w:t>
      </w:r>
    </w:p>
    <w:p>
      <w:pPr>
        <w:pStyle w:val="TextBody"/>
        <w:bidi w:val="0"/>
        <w:spacing w:before="0" w:after="0"/>
        <w:ind w:left="0" w:right="0" w:firstLine="630"/>
        <w:jc w:val="center"/>
        <w:rPr/>
      </w:pPr>
      <w:r>
        <w:rPr/>
      </w:r>
    </w:p>
    <w:tbl>
      <w:tblPr>
        <w:tblW w:w="3820" w:type="dxa"/>
        <w:jc w:val="left"/>
        <w:tblInd w:w="0" w:type="dxa"/>
        <w:tblLayout w:type="fixed"/>
        <w:tblCellMar>
          <w:top w:w="28" w:type="dxa"/>
          <w:left w:w="28" w:type="dxa"/>
          <w:bottom w:w="28" w:type="dxa"/>
          <w:right w:w="28" w:type="dxa"/>
        </w:tblCellMar>
      </w:tblPr>
      <w:tblGrid>
        <w:gridCol w:w="717"/>
        <w:gridCol w:w="628"/>
        <w:gridCol w:w="634"/>
        <w:gridCol w:w="109"/>
        <w:gridCol w:w="109"/>
        <w:gridCol w:w="109"/>
        <w:gridCol w:w="442"/>
        <w:gridCol w:w="442"/>
        <w:gridCol w:w="630"/>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82-1080209</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Number)</w:t>
            </w:r>
          </w:p>
        </w:tc>
      </w:tr>
    </w:tbl>
    <w:tbl>
      <w:tblPr>
        <w:tblW w:w="4845" w:type="dxa"/>
        <w:jc w:val="left"/>
        <w:tblInd w:w="0" w:type="dxa"/>
        <w:tblLayout w:type="fixed"/>
        <w:tblCellMar>
          <w:top w:w="28" w:type="dxa"/>
          <w:left w:w="28" w:type="dxa"/>
          <w:bottom w:w="28" w:type="dxa"/>
          <w:right w:w="28" w:type="dxa"/>
        </w:tblCellMar>
      </w:tblPr>
      <w:tblGrid>
        <w:gridCol w:w="1049"/>
        <w:gridCol w:w="919"/>
        <w:gridCol w:w="927"/>
        <w:gridCol w:w="374"/>
        <w:gridCol w:w="374"/>
        <w:gridCol w:w="378"/>
        <w:gridCol w:w="241"/>
        <w:gridCol w:w="241"/>
        <w:gridCol w:w="342"/>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2100 Wharton Street,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Suite 701</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Pittsburgh,</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Pennsylvania</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15203</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w:t>
            </w:r>
            <w:r>
              <w:rPr>
                <w:rFonts w:ascii="Times New Roman;serif" w:hAnsi="Times New Roman;serif"/>
                <w:b/>
                <w:color w:val="000000"/>
                <w:sz w:val="16"/>
              </w:rPr>
              <w:t>Address of principal executive offices</w:t>
            </w:r>
            <w:r>
              <w:rPr>
                <w:rFonts w:ascii="Times New Roman;serif" w:hAnsi="Times New Roman;serif"/>
                <w:b/>
                <w:color w:val="000000"/>
                <w:sz w:val="14"/>
              </w:rPr>
              <w:t>)</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w:t>
            </w:r>
            <w:r>
              <w:rPr>
                <w:rFonts w:ascii="Times New Roman;serif" w:hAnsi="Times New Roman;serif"/>
                <w:b/>
                <w:color w:val="000000"/>
                <w:sz w:val="16"/>
              </w:rPr>
              <w:t>zip code</w:t>
            </w:r>
            <w:r>
              <w:rPr>
                <w:rFonts w:ascii="Times New Roman;serif" w:hAnsi="Times New Roman;serif"/>
                <w:b/>
                <w:color w:val="000000"/>
                <w:sz w:val="14"/>
              </w:rPr>
              <w:t>)</w:t>
            </w:r>
          </w:p>
        </w:tc>
      </w:tr>
    </w:tbl>
    <w:p>
      <w:pPr>
        <w:pStyle w:val="TextBody"/>
        <w:bidi w:val="0"/>
        <w:spacing w:lineRule="auto" w:line="288" w:before="120" w:after="283"/>
        <w:ind w:left="0" w:right="0" w:firstLine="630"/>
        <w:jc w:val="center"/>
        <w:rPr>
          <w:rFonts w:ascii="Times New Roman;serif" w:hAnsi="Times New Roman;serif"/>
          <w:b/>
          <w:color w:val="000000"/>
          <w:sz w:val="16"/>
        </w:rPr>
      </w:pPr>
      <w:r>
        <w:rPr>
          <w:rFonts w:ascii="Times New Roman;serif" w:hAnsi="Times New Roman;serif"/>
          <w:b/>
          <w:color w:val="000000"/>
          <w:sz w:val="16"/>
        </w:rPr>
        <w:t xml:space="preserve">(412) 586-5830 </w:t>
      </w:r>
    </w:p>
    <w:p>
      <w:pPr>
        <w:pStyle w:val="TextBody"/>
        <w:bidi w:val="0"/>
        <w:spacing w:lineRule="auto" w:line="288" w:before="0" w:after="0"/>
        <w:ind w:left="0" w:right="0" w:firstLine="63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ind w:left="0" w:right="0" w:firstLine="63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ind w:left="0" w:right="0" w:firstLine="63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8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5532" w:type="dxa"/>
        <w:jc w:val="center"/>
        <w:tblInd w:w="0" w:type="dxa"/>
        <w:tblLayout w:type="fixed"/>
        <w:tblCellMar>
          <w:top w:w="28" w:type="dxa"/>
          <w:left w:w="28" w:type="dxa"/>
          <w:bottom w:w="28" w:type="dxa"/>
          <w:right w:w="28" w:type="dxa"/>
        </w:tblCellMar>
      </w:tblPr>
      <w:tblGrid>
        <w:gridCol w:w="504"/>
        <w:gridCol w:w="442"/>
        <w:gridCol w:w="448"/>
        <w:gridCol w:w="274"/>
        <w:gridCol w:w="274"/>
        <w:gridCol w:w="27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KRYS</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5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69"/>
        <w:gridCol w:w="669"/>
        <w:gridCol w:w="67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8"/>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July 28, 2026, there were 29,598,836 shares of the registrant’s common stock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63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ind w:left="0" w:right="0" w:firstLine="630"/>
                        <w:jc w:val="left"/>
                        <w:rPr/>
                      </w:pPr>
                      <w:r>
                        <w:rPr/>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Krystal Biotech,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61"/>
        <w:gridCol w:w="405"/>
        <w:gridCol w:w="405"/>
        <w:gridCol w:w="2743"/>
        <w:gridCol w:w="2617"/>
        <w:gridCol w:w="2585"/>
        <w:gridCol w:w="109"/>
        <w:gridCol w:w="109"/>
        <w:gridCol w:w="109"/>
        <w:gridCol w:w="191"/>
        <w:gridCol w:w="191"/>
        <w:gridCol w:w="280"/>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9216" w:type="dxa"/>
            <w:gridSpan w:val="6"/>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 No.</w:t>
            </w:r>
          </w:p>
        </w:tc>
      </w:tr>
      <w:tr>
        <w:trPr/>
        <w:tc>
          <w:tcPr>
            <w:tcW w:w="92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eca7ad46634d425599ecff8b8e3762c9_10">
              <w:r>
                <w:rPr>
                  <w:rStyle w:val="InternetLink"/>
                  <w:rFonts w:ascii="Times New Roman;serif" w:hAnsi="Times New Roman;serif"/>
                  <w:b w:val="false"/>
                  <w:color w:val="000000"/>
                  <w:sz w:val="20"/>
                  <w:u w:val="single"/>
                </w:rPr>
                <w:t>PART I. FINANCIAL INFORMATION</w:t>
              </w:r>
            </w:hyperlink>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3">
              <w:r>
                <w:rPr>
                  <w:rStyle w:val="InternetLink"/>
                  <w:rFonts w:ascii="Times New Roman;serif" w:hAnsi="Times New Roman;serif"/>
                  <w:b w:val="false"/>
                  <w:strike w:val="false"/>
                  <w:dstrike w:val="false"/>
                  <w:color w:val="000000"/>
                  <w:sz w:val="20"/>
                  <w:u w:val="none"/>
                  <w:effect w:val="none"/>
                </w:rPr>
                <w:t>Item 1.</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3">
              <w:r>
                <w:rPr>
                  <w:rStyle w:val="InternetLink"/>
                  <w:rFonts w:ascii="Times New Roman;serif" w:hAnsi="Times New Roman;serif"/>
                  <w:b w:val="false"/>
                  <w:color w:val="000000"/>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6">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00000"/>
                <w:sz w:val="20"/>
                <w:u w:val="single"/>
              </w:rPr>
              <w:t>June 30, 2026 (unaudited)</w:t>
            </w:r>
            <w:hyperlink w:anchor="ieca7ad46634d425599ecff8b8e3762c9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6">
              <w:r>
                <w:rPr>
                  <w:rStyle w:val="InternetLink"/>
                  <w:rFonts w:ascii="Times New Roman;serif" w:hAnsi="Times New Roman;serif"/>
                  <w:b w:val="false"/>
                  <w:strike w:val="false"/>
                  <w:dstrike w:val="false"/>
                  <w:color w:val="000000"/>
                  <w:sz w:val="20"/>
                  <w:u w:val="none"/>
                  <w:effect w:val="none"/>
                </w:rPr>
                <w:t>3</w:t>
              </w:r>
            </w:hyperlink>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ca7ad46634d425599ecff8b8e3762c9_19">
              <w:r>
                <w:rPr>
                  <w:rStyle w:val="InternetLink"/>
                  <w:rFonts w:ascii="Times New Roman;serif" w:hAnsi="Times New Roman;serif"/>
                  <w:b w:val="false"/>
                  <w:color w:val="000080"/>
                  <w:sz w:val="20"/>
                  <w:u w:val="single"/>
                </w:rPr>
                <w:t xml:space="preserve">Condensed Consolidated Statements of Operations and Comprehensive Income for the </w:t>
              </w:r>
            </w:hyperlink>
            <w:r>
              <w:rPr>
                <w:rFonts w:ascii="Times New Roman;serif" w:hAnsi="Times New Roman;serif"/>
                <w:b w:val="false"/>
                <w:color w:val="000000"/>
                <w:sz w:val="20"/>
                <w:u w:val="single"/>
              </w:rPr>
              <w:t>Three and Six</w:t>
            </w:r>
            <w:hyperlink w:anchor="ieca7ad46634d425599ecff8b8e3762c9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June 30, 2026</w:t>
            </w:r>
            <w:hyperlink w:anchor="ieca7ad46634d425599ecff8b8e3762c9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9">
              <w:r>
                <w:rPr>
                  <w:rStyle w:val="InternetLink"/>
                  <w:rFonts w:ascii="Times New Roman;serif" w:hAnsi="Times New Roman;serif"/>
                  <w:b w:val="false"/>
                  <w:strike w:val="false"/>
                  <w:dstrike w:val="false"/>
                  <w:color w:val="000000"/>
                  <w:sz w:val="20"/>
                  <w:u w:val="none"/>
                  <w:effect w:val="none"/>
                </w:rPr>
                <w:t>4</w:t>
              </w:r>
            </w:hyperlink>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ca7ad46634d425599ecff8b8e3762c9_22">
              <w:r>
                <w:rPr>
                  <w:rStyle w:val="InternetLink"/>
                  <w:rFonts w:ascii="Times New Roman;serif" w:hAnsi="Times New Roman;serif"/>
                  <w:b w:val="false"/>
                  <w:color w:val="000080"/>
                  <w:sz w:val="20"/>
                  <w:u w:val="single"/>
                </w:rPr>
                <w:t xml:space="preserve">Condensed Consolidated Statements of Stockholders’ Equity for the </w:t>
              </w:r>
            </w:hyperlink>
            <w:r>
              <w:rPr>
                <w:rFonts w:ascii="Times New Roman;serif" w:hAnsi="Times New Roman;serif"/>
                <w:b w:val="false"/>
                <w:color w:val="000000"/>
                <w:sz w:val="20"/>
                <w:u w:val="single"/>
              </w:rPr>
              <w:t>Three and Six</w:t>
            </w:r>
            <w:hyperlink w:anchor="ieca7ad46634d425599ecff8b8e3762c9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June 30, 2026</w:t>
            </w:r>
            <w:hyperlink w:anchor="ieca7ad46634d425599ecff8b8e3762c9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22">
              <w:r>
                <w:rPr>
                  <w:rStyle w:val="InternetLink"/>
                  <w:rFonts w:ascii="Times New Roman;serif" w:hAnsi="Times New Roman;serif"/>
                  <w:b w:val="false"/>
                  <w:strike w:val="false"/>
                  <w:dstrike w:val="false"/>
                  <w:color w:val="000000"/>
                  <w:sz w:val="20"/>
                  <w:u w:val="none"/>
                  <w:effect w:val="none"/>
                </w:rPr>
                <w:t>5</w:t>
              </w:r>
            </w:hyperlink>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ca7ad46634d425599ecff8b8e3762c9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00"/>
                <w:sz w:val="20"/>
                <w:u w:val="single"/>
              </w:rPr>
              <w:t>Six Months Ended</w:t>
            </w:r>
            <w:hyperlink w:anchor="ieca7ad46634d425599ecff8b8e3762c9_25">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June 30, 2026</w:t>
            </w:r>
            <w:hyperlink w:anchor="ieca7ad46634d425599ecff8b8e3762c9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25">
              <w:r>
                <w:rPr>
                  <w:rStyle w:val="InternetLink"/>
                  <w:rFonts w:ascii="Times New Roman;serif" w:hAnsi="Times New Roman;serif"/>
                  <w:b w:val="false"/>
                  <w:strike w:val="false"/>
                  <w:dstrike w:val="false"/>
                  <w:color w:val="000000"/>
                  <w:sz w:val="20"/>
                  <w:u w:val="none"/>
                  <w:effect w:val="none"/>
                </w:rPr>
                <w:t>6</w:t>
              </w:r>
            </w:hyperlink>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28">
              <w:r>
                <w:rPr>
                  <w:rStyle w:val="InternetLink"/>
                  <w:rFonts w:ascii="Times New Roman;serif" w:hAnsi="Times New Roman;serif"/>
                  <w:b w:val="false"/>
                  <w:color w:val="000000"/>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28">
              <w:r>
                <w:rPr>
                  <w:rStyle w:val="InternetLink"/>
                  <w:rFonts w:ascii="Times New Roman;serif" w:hAnsi="Times New Roman;serif"/>
                  <w:b w:val="false"/>
                  <w:strike w:val="false"/>
                  <w:dstrike w:val="false"/>
                  <w:color w:val="000000"/>
                  <w:sz w:val="20"/>
                  <w:u w:val="none"/>
                  <w:effect w:val="none"/>
                </w:rPr>
                <w:t>7</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70">
              <w:r>
                <w:rPr>
                  <w:rStyle w:val="InternetLink"/>
                  <w:rFonts w:ascii="Times New Roman;serif" w:hAnsi="Times New Roman;serif"/>
                  <w:b w:val="false"/>
                  <w:strike w:val="false"/>
                  <w:dstrike w:val="false"/>
                  <w:color w:val="000000"/>
                  <w:sz w:val="20"/>
                  <w:u w:val="none"/>
                  <w:effect w:val="none"/>
                </w:rPr>
                <w:t>Item 2.</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70">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70">
              <w:r>
                <w:rPr>
                  <w:rStyle w:val="InternetLink"/>
                  <w:rFonts w:ascii="Times New Roman;serif" w:hAnsi="Times New Roman;serif"/>
                  <w:b w:val="false"/>
                  <w:strike w:val="false"/>
                  <w:dstrike w:val="false"/>
                  <w:color w:val="000000"/>
                  <w:sz w:val="20"/>
                  <w:u w:val="none"/>
                  <w:effect w:val="none"/>
                </w:rPr>
                <w:t>17</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91">
              <w:r>
                <w:rPr>
                  <w:rStyle w:val="InternetLink"/>
                  <w:rFonts w:ascii="Times New Roman;serif" w:hAnsi="Times New Roman;serif"/>
                  <w:b w:val="false"/>
                  <w:strike w:val="false"/>
                  <w:dstrike w:val="false"/>
                  <w:color w:val="000000"/>
                  <w:sz w:val="20"/>
                  <w:u w:val="none"/>
                  <w:effect w:val="none"/>
                </w:rPr>
                <w:t>Item 3.</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91">
              <w:r>
                <w:rPr>
                  <w:rStyle w:val="InternetLink"/>
                  <w:rFonts w:ascii="Times New Roman;serif" w:hAnsi="Times New Roman;serif"/>
                  <w:b w:val="false"/>
                  <w:color w:val="000000"/>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91">
              <w:r>
                <w:rPr>
                  <w:rStyle w:val="InternetLink"/>
                  <w:rFonts w:ascii="Times New Roman;serif" w:hAnsi="Times New Roman;serif"/>
                  <w:b w:val="false"/>
                  <w:strike w:val="false"/>
                  <w:dstrike w:val="false"/>
                  <w:color w:val="000000"/>
                  <w:sz w:val="20"/>
                  <w:u w:val="none"/>
                  <w:effect w:val="none"/>
                </w:rPr>
                <w:t>29</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94">
              <w:r>
                <w:rPr>
                  <w:rStyle w:val="InternetLink"/>
                  <w:rFonts w:ascii="Times New Roman;serif" w:hAnsi="Times New Roman;serif"/>
                  <w:b w:val="false"/>
                  <w:strike w:val="false"/>
                  <w:dstrike w:val="false"/>
                  <w:color w:val="000000"/>
                  <w:sz w:val="20"/>
                  <w:u w:val="none"/>
                  <w:effect w:val="none"/>
                </w:rPr>
                <w:t>Item 4.</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94">
              <w:r>
                <w:rPr>
                  <w:rStyle w:val="InternetLink"/>
                  <w:rFonts w:ascii="Times New Roman;serif" w:hAnsi="Times New Roman;serif"/>
                  <w:b w:val="false"/>
                  <w:color w:val="000000"/>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94">
              <w:r>
                <w:rPr>
                  <w:rStyle w:val="InternetLink"/>
                  <w:rFonts w:ascii="Times New Roman;serif" w:hAnsi="Times New Roman;serif"/>
                  <w:b w:val="false"/>
                  <w:strike w:val="false"/>
                  <w:dstrike w:val="false"/>
                  <w:color w:val="000000"/>
                  <w:sz w:val="20"/>
                  <w:u w:val="none"/>
                  <w:effect w:val="none"/>
                </w:rPr>
                <w:t>29</w:t>
              </w:r>
            </w:hyperlink>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97">
              <w:r>
                <w:rPr>
                  <w:rStyle w:val="InternetLink"/>
                  <w:rFonts w:ascii="Times New Roman;serif" w:hAnsi="Times New Roman;serif"/>
                  <w:b w:val="false"/>
                  <w:color w:val="000000"/>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0">
              <w:r>
                <w:rPr>
                  <w:rStyle w:val="InternetLink"/>
                  <w:rFonts w:ascii="Times New Roman;serif" w:hAnsi="Times New Roman;serif"/>
                  <w:b w:val="false"/>
                  <w:strike w:val="false"/>
                  <w:dstrike w:val="false"/>
                  <w:color w:val="000000"/>
                  <w:sz w:val="20"/>
                  <w:u w:val="none"/>
                  <w:effect w:val="none"/>
                </w:rPr>
                <w:t>Item 1.</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0">
              <w:r>
                <w:rPr>
                  <w:rStyle w:val="InternetLink"/>
                  <w:rFonts w:ascii="Times New Roman;serif" w:hAnsi="Times New Roman;serif"/>
                  <w:b w:val="false"/>
                  <w:color w:val="000000"/>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00">
              <w:r>
                <w:rPr>
                  <w:rStyle w:val="InternetLink"/>
                  <w:rFonts w:ascii="Times New Roman;serif" w:hAnsi="Times New Roman;serif"/>
                  <w:b w:val="false"/>
                  <w:strike w:val="false"/>
                  <w:dstrike w:val="false"/>
                  <w:color w:val="000000"/>
                  <w:sz w:val="20"/>
                  <w:u w:val="none"/>
                  <w:effect w:val="none"/>
                </w:rPr>
                <w:t>30</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3">
              <w:r>
                <w:rPr>
                  <w:rStyle w:val="InternetLink"/>
                  <w:rFonts w:ascii="Times New Roman;serif" w:hAnsi="Times New Roman;serif"/>
                  <w:b w:val="false"/>
                  <w:color w:val="000000"/>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03">
              <w:r>
                <w:rPr>
                  <w:rStyle w:val="InternetLink"/>
                  <w:rFonts w:ascii="Times New Roman;serif" w:hAnsi="Times New Roman;serif"/>
                  <w:b w:val="false"/>
                  <w:strike w:val="false"/>
                  <w:dstrike w:val="false"/>
                  <w:color w:val="000000"/>
                  <w:sz w:val="20"/>
                  <w:u w:val="none"/>
                  <w:effect w:val="none"/>
                </w:rPr>
                <w:t>30</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6">
              <w:r>
                <w:rPr>
                  <w:rStyle w:val="InternetLink"/>
                  <w:rFonts w:ascii="Times New Roman;serif" w:hAnsi="Times New Roman;serif"/>
                  <w:b w:val="false"/>
                  <w:strike w:val="false"/>
                  <w:dstrike w:val="false"/>
                  <w:color w:val="000000"/>
                  <w:sz w:val="20"/>
                  <w:u w:val="none"/>
                  <w:effect w:val="none"/>
                </w:rPr>
                <w:t>Item 2.</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6">
              <w:r>
                <w:rPr>
                  <w:rStyle w:val="InternetLink"/>
                  <w:rFonts w:ascii="Times New Roman;serif" w:hAnsi="Times New Roman;serif"/>
                  <w:b w:val="false"/>
                  <w:color w:val="000000"/>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06">
              <w:r>
                <w:rPr>
                  <w:rStyle w:val="InternetLink"/>
                  <w:rFonts w:ascii="Times New Roman;serif" w:hAnsi="Times New Roman;serif"/>
                  <w:b w:val="false"/>
                  <w:strike w:val="false"/>
                  <w:dstrike w:val="false"/>
                  <w:color w:val="000000"/>
                  <w:sz w:val="20"/>
                  <w:u w:val="none"/>
                  <w:effect w:val="none"/>
                </w:rPr>
                <w:t>31</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9">
              <w:r>
                <w:rPr>
                  <w:rStyle w:val="InternetLink"/>
                  <w:rFonts w:ascii="Times New Roman;serif" w:hAnsi="Times New Roman;serif"/>
                  <w:b w:val="false"/>
                  <w:strike w:val="false"/>
                  <w:dstrike w:val="false"/>
                  <w:color w:val="000000"/>
                  <w:sz w:val="20"/>
                  <w:u w:val="none"/>
                  <w:effect w:val="none"/>
                </w:rPr>
                <w:t>Item 3.</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09">
              <w:r>
                <w:rPr>
                  <w:rStyle w:val="InternetLink"/>
                  <w:rFonts w:ascii="Times New Roman;serif" w:hAnsi="Times New Roman;serif"/>
                  <w:b w:val="false"/>
                  <w:color w:val="000000"/>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09">
              <w:r>
                <w:rPr>
                  <w:rStyle w:val="InternetLink"/>
                  <w:rFonts w:ascii="Times New Roman;serif" w:hAnsi="Times New Roman;serif"/>
                  <w:b w:val="false"/>
                  <w:strike w:val="false"/>
                  <w:dstrike w:val="false"/>
                  <w:color w:val="000000"/>
                  <w:sz w:val="20"/>
                  <w:u w:val="none"/>
                  <w:effect w:val="none"/>
                </w:rPr>
                <w:t>31</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12">
              <w:r>
                <w:rPr>
                  <w:rStyle w:val="InternetLink"/>
                  <w:rFonts w:ascii="Times New Roman;serif" w:hAnsi="Times New Roman;serif"/>
                  <w:b w:val="false"/>
                  <w:strike w:val="false"/>
                  <w:dstrike w:val="false"/>
                  <w:color w:val="000000"/>
                  <w:sz w:val="20"/>
                  <w:u w:val="none"/>
                  <w:effect w:val="none"/>
                </w:rPr>
                <w:t>Item 4.</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12">
              <w:r>
                <w:rPr>
                  <w:rStyle w:val="InternetLink"/>
                  <w:rFonts w:ascii="Times New Roman;serif" w:hAnsi="Times New Roman;serif"/>
                  <w:b w:val="false"/>
                  <w:color w:val="000000"/>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12">
              <w:r>
                <w:rPr>
                  <w:rStyle w:val="InternetLink"/>
                  <w:rFonts w:ascii="Times New Roman;serif" w:hAnsi="Times New Roman;serif"/>
                  <w:b w:val="false"/>
                  <w:strike w:val="false"/>
                  <w:dstrike w:val="false"/>
                  <w:color w:val="000000"/>
                  <w:sz w:val="20"/>
                  <w:u w:val="none"/>
                  <w:effect w:val="none"/>
                </w:rPr>
                <w:t>31</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15">
              <w:r>
                <w:rPr>
                  <w:rStyle w:val="InternetLink"/>
                  <w:rFonts w:ascii="Times New Roman;serif" w:hAnsi="Times New Roman;serif"/>
                  <w:b w:val="false"/>
                  <w:strike w:val="false"/>
                  <w:dstrike w:val="false"/>
                  <w:color w:val="000000"/>
                  <w:sz w:val="20"/>
                  <w:u w:val="none"/>
                  <w:effect w:val="none"/>
                </w:rPr>
                <w:t>Item 5.</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15">
              <w:r>
                <w:rPr>
                  <w:rStyle w:val="InternetLink"/>
                  <w:rFonts w:ascii="Times New Roman;serif" w:hAnsi="Times New Roman;serif"/>
                  <w:b w:val="false"/>
                  <w:color w:val="000000"/>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15">
              <w:r>
                <w:rPr>
                  <w:rStyle w:val="InternetLink"/>
                  <w:rFonts w:ascii="Times New Roman;serif" w:hAnsi="Times New Roman;serif"/>
                  <w:b w:val="false"/>
                  <w:strike w:val="false"/>
                  <w:dstrike w:val="false"/>
                  <w:color w:val="000000"/>
                  <w:sz w:val="20"/>
                  <w:u w:val="none"/>
                  <w:effect w:val="none"/>
                </w:rPr>
                <w:t>31</w:t>
              </w:r>
            </w:hyperlink>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21">
              <w:r>
                <w:rPr>
                  <w:rStyle w:val="InternetLink"/>
                  <w:rFonts w:ascii="Times New Roman;serif" w:hAnsi="Times New Roman;serif"/>
                  <w:b w:val="false"/>
                  <w:strike w:val="false"/>
                  <w:dstrike w:val="false"/>
                  <w:color w:val="000000"/>
                  <w:sz w:val="20"/>
                  <w:u w:val="none"/>
                  <w:effect w:val="none"/>
                </w:rPr>
                <w:t>Item 6.</w:t>
              </w:r>
            </w:hyperlink>
          </w:p>
        </w:tc>
        <w:tc>
          <w:tcPr>
            <w:tcW w:w="7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21">
              <w:r>
                <w:rPr>
                  <w:rStyle w:val="InternetLink"/>
                  <w:rFonts w:ascii="Times New Roman;serif" w:hAnsi="Times New Roman;serif"/>
                  <w:b w:val="false"/>
                  <w:color w:val="000000"/>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21">
              <w:r>
                <w:rPr>
                  <w:rStyle w:val="InternetLink"/>
                  <w:rFonts w:ascii="Times New Roman;serif" w:hAnsi="Times New Roman;serif"/>
                  <w:b w:val="false"/>
                  <w:strike w:val="false"/>
                  <w:dstrike w:val="false"/>
                  <w:color w:val="000000"/>
                  <w:sz w:val="20"/>
                  <w:u w:val="none"/>
                  <w:effect w:val="none"/>
                </w:rPr>
                <w:t>31</w:t>
              </w:r>
            </w:hyperlink>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ca7ad46634d425599ecff8b8e3762c9_124">
              <w:r>
                <w:rPr>
                  <w:rStyle w:val="InternetLink"/>
                  <w:rFonts w:ascii="Times New Roman;serif" w:hAnsi="Times New Roman;serif"/>
                  <w:b w:val="false"/>
                  <w:color w:val="000000"/>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7ad46634d425599ecff8b8e3762c9_124">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before="24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Krystal Biotech,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60"/>
        <w:gridCol w:w="2232"/>
        <w:gridCol w:w="2247"/>
        <w:gridCol w:w="211"/>
        <w:gridCol w:w="976"/>
        <w:gridCol w:w="109"/>
        <w:gridCol w:w="109"/>
        <w:gridCol w:w="109"/>
        <w:gridCol w:w="109"/>
        <w:gridCol w:w="211"/>
        <w:gridCol w:w="976"/>
        <w:gridCol w:w="156"/>
      </w:tblGrid>
      <w:tr>
        <w:trPr/>
        <w:tc>
          <w:tcPr>
            <w:tcW w:w="2760"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par value)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 net of valuation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7)</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80,000 shares authorized as of June 30, 2026 and December 31, 2025; 29,596 and 29,192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gain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Krystal Biotech,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65"/>
        <w:gridCol w:w="1007"/>
        <w:gridCol w:w="1013"/>
        <w:gridCol w:w="109"/>
        <w:gridCol w:w="109"/>
        <w:gridCol w:w="154"/>
        <w:gridCol w:w="154"/>
        <w:gridCol w:w="154"/>
        <w:gridCol w:w="154"/>
        <w:gridCol w:w="299"/>
        <w:gridCol w:w="1172"/>
        <w:gridCol w:w="154"/>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36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20" w:type="dxa"/>
            <w:gridSpan w:val="6"/>
            <w:tcBorders/>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Krystal Biotech,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95"/>
        <w:gridCol w:w="426"/>
        <w:gridCol w:w="429"/>
        <w:gridCol w:w="323"/>
        <w:gridCol w:w="323"/>
        <w:gridCol w:w="211"/>
        <w:gridCol w:w="109"/>
        <w:gridCol w:w="109"/>
        <w:gridCol w:w="109"/>
        <w:gridCol w:w="207"/>
        <w:gridCol w:w="428"/>
        <w:gridCol w:w="116"/>
        <w:gridCol w:w="109"/>
        <w:gridCol w:w="109"/>
        <w:gridCol w:w="109"/>
        <w:gridCol w:w="216"/>
        <w:gridCol w:w="962"/>
        <w:gridCol w:w="120"/>
        <w:gridCol w:w="109"/>
        <w:gridCol w:w="109"/>
        <w:gridCol w:w="109"/>
        <w:gridCol w:w="368"/>
        <w:gridCol w:w="1074"/>
        <w:gridCol w:w="205"/>
        <w:gridCol w:w="109"/>
        <w:gridCol w:w="109"/>
        <w:gridCol w:w="109"/>
        <w:gridCol w:w="209"/>
        <w:gridCol w:w="785"/>
        <w:gridCol w:w="116"/>
        <w:gridCol w:w="109"/>
        <w:gridCol w:w="109"/>
        <w:gridCol w:w="109"/>
        <w:gridCol w:w="216"/>
        <w:gridCol w:w="963"/>
        <w:gridCol w:w="178"/>
      </w:tblGrid>
      <w:tr>
        <w:trPr/>
        <w:tc>
          <w:tcPr>
            <w:tcW w:w="6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as of January 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1,194,261 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as of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1,198,257 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1,276,729 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as of June 30,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1,228,598 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1,359,126 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5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ind w:left="0" w:right="0" w:hanging="360"/>
        <w:jc w:val="both"/>
        <w:rPr/>
      </w:pPr>
      <w:r>
        <w:rPr/>
      </w:r>
    </w:p>
    <w:tbl>
      <w:tblPr>
        <w:tblW w:w="10205" w:type="dxa"/>
        <w:jc w:val="center"/>
        <w:tblInd w:w="0" w:type="dxa"/>
        <w:tblLayout w:type="fixed"/>
        <w:tblCellMar>
          <w:top w:w="28" w:type="dxa"/>
          <w:left w:w="28" w:type="dxa"/>
          <w:bottom w:w="28" w:type="dxa"/>
          <w:right w:w="28" w:type="dxa"/>
        </w:tblCellMar>
      </w:tblPr>
      <w:tblGrid>
        <w:gridCol w:w="606"/>
        <w:gridCol w:w="332"/>
        <w:gridCol w:w="334"/>
        <w:gridCol w:w="323"/>
        <w:gridCol w:w="323"/>
        <w:gridCol w:w="211"/>
        <w:gridCol w:w="203"/>
        <w:gridCol w:w="203"/>
        <w:gridCol w:w="145"/>
        <w:gridCol w:w="249"/>
        <w:gridCol w:w="249"/>
        <w:gridCol w:w="253"/>
        <w:gridCol w:w="203"/>
        <w:gridCol w:w="203"/>
        <w:gridCol w:w="109"/>
        <w:gridCol w:w="203"/>
        <w:gridCol w:w="906"/>
        <w:gridCol w:w="113"/>
        <w:gridCol w:w="203"/>
        <w:gridCol w:w="203"/>
        <w:gridCol w:w="109"/>
        <w:gridCol w:w="327"/>
        <w:gridCol w:w="929"/>
        <w:gridCol w:w="183"/>
        <w:gridCol w:w="109"/>
        <w:gridCol w:w="109"/>
        <w:gridCol w:w="109"/>
        <w:gridCol w:w="212"/>
        <w:gridCol w:w="819"/>
        <w:gridCol w:w="120"/>
        <w:gridCol w:w="109"/>
        <w:gridCol w:w="109"/>
        <w:gridCol w:w="109"/>
        <w:gridCol w:w="204"/>
        <w:gridCol w:w="906"/>
        <w:gridCol w:w="168"/>
      </w:tblGrid>
      <w:tr>
        <w:trPr/>
        <w:tc>
          <w:tcPr>
            <w:tcW w:w="6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as of January 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(180,668)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(12,116)</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restricted stock awards surrendered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as of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1,129,219 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(144,935)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984,674 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as of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1,146,092 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(106,602)</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1,040,647 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Krystal Biotech,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23" w:type="dxa"/>
        <w:jc w:val="center"/>
        <w:tblInd w:w="0" w:type="dxa"/>
        <w:tblLayout w:type="fixed"/>
        <w:tblCellMar>
          <w:top w:w="28" w:type="dxa"/>
          <w:left w:w="28" w:type="dxa"/>
          <w:bottom w:w="28" w:type="dxa"/>
          <w:right w:w="28" w:type="dxa"/>
        </w:tblCellMar>
      </w:tblPr>
      <w:tblGrid>
        <w:gridCol w:w="2410"/>
        <w:gridCol w:w="2123"/>
        <w:gridCol w:w="2126"/>
        <w:gridCol w:w="211"/>
        <w:gridCol w:w="826"/>
        <w:gridCol w:w="109"/>
        <w:gridCol w:w="109"/>
        <w:gridCol w:w="109"/>
        <w:gridCol w:w="109"/>
        <w:gridCol w:w="211"/>
        <w:gridCol w:w="826"/>
        <w:gridCol w:w="154"/>
      </w:tblGrid>
      <w:tr>
        <w:trPr/>
        <w:tc>
          <w:tcPr>
            <w:tcW w:w="2410"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32fb25c27a6d4c4094a541cd1fabd5d4_6-1-1-"/>
            <w:bookmarkEnd w:id="0"/>
            <w:r>
              <w:rPr>
                <w:rFonts w:ascii="Times New Roman;serif" w:hAnsi="Times New Roman;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amortization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legal settlement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for employee tax withholding related to restricted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settlement of restricted stock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Krystal Biotech,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Krystal Biotech, Inc. (together with its wholly-owned subsidiaries, the “Company,” or “we” or other similar pronouns), a Delaware C-corporation, is a fully integrated, global, commercial-stage biotechnology company. We are focused on the discovery, development, manufacturing, and commercialization of genetic medicines to treat diseases with high unmet medical needs. Using our patented gene therapy technology platform that is based on engineered herpes simplex virus-1 (“HSV-1”),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 administration at a healthcare professional’s office or in the patient’s home. Our innovative technology platform is supported by two in-house, commercial scale Current Good Manufacturing Practice (“CGMP”) manufacturing facilities.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ind w:left="0" w:right="0" w:firstLine="720"/>
        <w:jc w:val="both"/>
        <w:rPr/>
      </w:pPr>
      <w:r>
        <w:rPr>
          <w:rFonts w:ascii="Times New Roman;serif" w:hAnsi="Times New Roman;serif"/>
          <w:b w:val="false"/>
          <w:color w:val="000000"/>
          <w:sz w:val="20"/>
        </w:rPr>
        <w:t>As of June 30, 2026, the Company had a retained earnings balance of $134.9 million. Our operating profitability is dependent upon the continued successful commercialization of VYJUVEK</w:t>
      </w:r>
      <w:r>
        <w:rPr>
          <w:rFonts w:ascii="Times New Roman;serif" w:hAnsi="Times New Roman;serif"/>
          <w:b/>
          <w:i/>
          <w:color w:val="000000"/>
          <w:sz w:val="13"/>
        </w:rPr>
        <w:t>®</w:t>
      </w:r>
      <w:r>
        <w:rPr>
          <w:rFonts w:ascii="Times New Roman;serif" w:hAnsi="Times New Roman;serif"/>
          <w:b w:val="false"/>
          <w:color w:val="000000"/>
          <w:sz w:val="20"/>
        </w:rPr>
        <w:t xml:space="preserve">, our redosable gene therapy approved in the United States, European Union (“EU”), United Kingdom (“UK”), and Japan, as well as successful development, approval and commercialization of our product candidates. Management intends to fund future operations through its on hand cash and cash equivalents and revenue generated from the sale of VYJUVEK, and may also seek additional capital through arrangements with strategic partners, the sale of equity, debt financings or other sources.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risks common to companies in the biotechnology industry, including, but not limited to, the failure of product candidates in clinical and preclinical studies, the development of competing product candidates or other technological innovations by competitors, dependence on key personnel, protection of proprietary technology, compliance with government regulations and the ability to commercialize product candidates. The Company expects to incur significant costs in connection with, among other things, advancing its product pipeline, expanding its commercialization capabilities, and complying with EU post-authorization regulatory requirements and EU member state-specific pricing, reimbursement, and market access activities. The Company believes that its cash and cash equivalents and short-term investments of approximately $845.6 million as of June 30, 2026 will be sufficient to allow the Company to fund its planned operations for at least the next 12 months from the date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conformity with generally accepted accounting principles in the United States of America (“GAAP”). In the opinion of management, all adjustments, which consist of all normal recurring adjustments necessary for a fair presentation of the Company’s financial position and results of operations for the interim periods presented, are reflected in the interim condensed consolidated financial statements. All intercompany balances and transactions have been eliminated in consolidation.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The reclassified amounts have no impact on the Company’s previously reported financial position or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interim periods are not necessarily indicative of the results of operations to be expected for the full year. These unaudited condensed consolidated financial statements should be read in conjunction with the Company’s audited consolidated financial statements and the notes thereto included in the Company’s Annual Report on Form 10-K for the fiscal year ended December 31, 2025 (the “2025 10-K”), as filed with the U.S. Securities and Exchange Commission (“SEC”) on February 17,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conformity with GAAP requires management to make estimates and assumptions that affect the reported amounts in the condensed consolidated financial statements and accompanying notes. Actual results could materially differ from those estimates. Management considers many factors and applies significant judgment in developing the estimates and assumptions that are used in the preparation of these financial statements. If actual results in the future vary from the Company’s estimates, the Company will adjust these estimates in the period these variances become known. Estimates are used in the following areas, among others: variable consideration associated with revenue recognition, stock-based compensation expense, accrued expenses, and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included in the 2025 10-K. There were no material changes to the Company’s significant accounting policies during the six months ended June 30,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accounting pronouncements issued or adopted during the six months ended June 30, 2026 that had or are expected to have a material impact on the Company’s condensed consolidated financial statements.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November 2024, the Financial Accounting Standards Board (“FASB”) issued </w:t>
      </w:r>
      <w:r>
        <w:rPr>
          <w:rFonts w:ascii="Times New Roman;serif" w:hAnsi="Times New Roman;serif"/>
          <w:b w:val="false"/>
          <w:i/>
          <w:color w:val="000000"/>
          <w:sz w:val="20"/>
        </w:rPr>
        <w:t>ASU 2024-03 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This standard calls for enhanced disclosures about components of expense captions on the face of the income statement. This standard will be effective for fiscal years beginning after December 15, 2026, with the option to apply it retrospectively. Early adoption is allowed. Currently, the Company is assessing the potential impact of this guidance on its financial statement disclosures.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December 2025, the FASB issued </w:t>
      </w:r>
      <w:r>
        <w:rPr>
          <w:rFonts w:ascii="Times New Roman;serif" w:hAnsi="Times New Roman;serif"/>
          <w:b w:val="false"/>
          <w:i/>
          <w:color w:val="000000"/>
          <w:sz w:val="20"/>
        </w:rPr>
        <w:t xml:space="preserve">ASU 2025-11 Interim Reporting (Topic 270): Narrow-Scope Improvements. </w:t>
      </w:r>
      <w:r>
        <w:rPr>
          <w:rFonts w:ascii="Times New Roman;serif" w:hAnsi="Times New Roman;serif"/>
          <w:b w:val="false"/>
          <w:color w:val="000000"/>
          <w:sz w:val="20"/>
        </w:rPr>
        <w:t>This standard clarifies current interim reporting requirements on Topic 270 and introduces a disclosure principle requiring entities to disclose events since the end of the last annual reporting period that have a material impact on the entity. This standard will be effective for fiscal years beginning after December 15, 2027, with the option to apply it retrospectively. Early adoption is allowed. Currently, the Company is assessing the potential impact of this guidance on its financial statement disclosures.</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Product Revenue, Accounts Receivable and Reserves for Product Sales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product revenue, net of sales discounts and allowances totaled $119.2 million and $96.0 million for the three months ended June 30, 2026 and June 30, 2025, respectively and $235.6 million and $184.2 million for the six months ended June 30, 2026 and June 30, 2025, respectively. Product revenue by significant geographic region is as follows:</w:t>
      </w:r>
    </w:p>
    <w:tbl>
      <w:tblPr>
        <w:tblW w:w="9355" w:type="dxa"/>
        <w:jc w:val="left"/>
        <w:tblInd w:w="0" w:type="dxa"/>
        <w:tblLayout w:type="fixed"/>
        <w:tblCellMar>
          <w:top w:w="28" w:type="dxa"/>
          <w:left w:w="28" w:type="dxa"/>
          <w:bottom w:w="28" w:type="dxa"/>
          <w:right w:w="28" w:type="dxa"/>
        </w:tblCellMar>
      </w:tblPr>
      <w:tblGrid>
        <w:gridCol w:w="820"/>
        <w:gridCol w:w="721"/>
        <w:gridCol w:w="723"/>
        <w:gridCol w:w="109"/>
        <w:gridCol w:w="209"/>
        <w:gridCol w:w="209"/>
        <w:gridCol w:w="406"/>
        <w:gridCol w:w="1590"/>
        <w:gridCol w:w="2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net balance relating to VYJUVEK sales was $138.7 million as of June 30, 2026 and $127.4 million as of December 31, 2025. Accounts receivable, net from the Company’s customers who individually accounted for 10% or more of accounts receivable, net consisted of the following:</w:t>
      </w:r>
    </w:p>
    <w:tbl>
      <w:tblPr>
        <w:tblW w:w="4242" w:type="dxa"/>
        <w:jc w:val="left"/>
        <w:tblInd w:w="0" w:type="dxa"/>
        <w:tblLayout w:type="fixed"/>
        <w:tblCellMar>
          <w:top w:w="28" w:type="dxa"/>
          <w:left w:w="28" w:type="dxa"/>
          <w:bottom w:w="28" w:type="dxa"/>
          <w:right w:w="28" w:type="dxa"/>
        </w:tblCellMar>
      </w:tblPr>
      <w:tblGrid>
        <w:gridCol w:w="391"/>
        <w:gridCol w:w="344"/>
        <w:gridCol w:w="345"/>
        <w:gridCol w:w="334"/>
        <w:gridCol w:w="334"/>
        <w:gridCol w:w="837"/>
        <w:gridCol w:w="334"/>
        <w:gridCol w:w="334"/>
        <w:gridCol w:w="98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 of Accounts Receivable, Net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single customers represent less than 10% of outstanding accounts receivable, net as of June 30, 2026 and December 31, 2025, respectively.</w:t>
      </w:r>
    </w:p>
    <w:p>
      <w:pPr>
        <w:pStyle w:val="TextBody"/>
        <w:bidi w:val="0"/>
        <w:spacing w:lineRule="auto" w:line="25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allowances and discounts for the six months ended June 30, 2026:</w:t>
      </w:r>
    </w:p>
    <w:tbl>
      <w:tblPr>
        <w:tblW w:w="8220" w:type="dxa"/>
        <w:jc w:val="left"/>
        <w:tblInd w:w="0" w:type="dxa"/>
        <w:tblLayout w:type="fixed"/>
        <w:tblCellMar>
          <w:top w:w="28" w:type="dxa"/>
          <w:left w:w="28" w:type="dxa"/>
          <w:bottom w:w="28" w:type="dxa"/>
          <w:right w:w="28" w:type="dxa"/>
        </w:tblCellMar>
      </w:tblPr>
      <w:tblGrid>
        <w:gridCol w:w="1021"/>
        <w:gridCol w:w="898"/>
        <w:gridCol w:w="900"/>
        <w:gridCol w:w="211"/>
        <w:gridCol w:w="721"/>
        <w:gridCol w:w="109"/>
        <w:gridCol w:w="109"/>
        <w:gridCol w:w="109"/>
        <w:gridCol w:w="109"/>
        <w:gridCol w:w="230"/>
        <w:gridCol w:w="671"/>
        <w:gridCol w:w="118"/>
        <w:gridCol w:w="109"/>
        <w:gridCol w:w="109"/>
        <w:gridCol w:w="109"/>
        <w:gridCol w:w="342"/>
        <w:gridCol w:w="756"/>
        <w:gridCol w:w="176"/>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Accruals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are included in accrued rebates and other long-term liabilities on the condensed consolidated balance sheets. Other long-term liabilities are comprised of $5.9 million and $3.7 million of long-term accrued rebates as of June 30, 2026 and December 31, 2025, respectively. Prompt pay discount is recorded as an allowance against accounts receivable, net on the condensed consolidated balance sheets. Other accruals are included in accrued expenses and other current liabilities on the condensed consolidated balance sheets. Provisions for rebates, prompt pay discounts and other accruals are recorded as reductions to product revenue, net on the condensed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Net Income Per Share Attributable to Common Stockholders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common stockholders is calculated by dividing net income attributable to common stockholders by the weighted-average shares outstanding during the period, without consideration for common stock equivalents. Diluted net income per share attributable to common stockholders is computed by dividing the net income by the weighted-average number of shares of common stock and common stock equivalents outstanding for the period. Common stock equivalents consist of common stock issuable upon (1) exercise of stock options and (2) vesting of restricted stock awards, restricted stock units and performance-based restricted stock units (collectively, “restricted stock”).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respectively, there were 305 thousand and 604 thousand common stock equivalents outstanding in the form of stock options and zero and 275 thousand in unvested restricted stock, that have each been excluded from the calculation of diluted net income per common share as their effect would be anti-dilutive.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respectively, there were 234 thousand and 520 thousand common stock equivalents outstanding in the form of stock options and zero and 89 thousand in unvested restricted stock, that have each been excluded from the calculation of diluted net income per common share as their effect would be anti-dilutive.</w:t>
      </w:r>
    </w:p>
    <w:tbl>
      <w:tblPr>
        <w:tblW w:w="10205" w:type="dxa"/>
        <w:jc w:val="left"/>
        <w:tblInd w:w="0" w:type="dxa"/>
        <w:tblLayout w:type="fixed"/>
        <w:tblCellMar>
          <w:top w:w="28" w:type="dxa"/>
          <w:left w:w="28" w:type="dxa"/>
          <w:bottom w:w="28" w:type="dxa"/>
          <w:right w:w="28" w:type="dxa"/>
        </w:tblCellMar>
      </w:tblPr>
      <w:tblGrid>
        <w:gridCol w:w="1497"/>
        <w:gridCol w:w="1116"/>
        <w:gridCol w:w="1122"/>
        <w:gridCol w:w="109"/>
        <w:gridCol w:w="182"/>
        <w:gridCol w:w="182"/>
        <w:gridCol w:w="353"/>
        <w:gridCol w:w="1206"/>
        <w:gridCol w:w="182"/>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49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415"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basic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diluted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share—basic</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Fair Value Instruments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Company’s cash and cash equivalents and available-for-sale securities by significant investment category as of June 30, 2026 and December 31, 2025:</w:t>
      </w:r>
    </w:p>
    <w:tbl>
      <w:tblPr>
        <w:tblW w:w="11124" w:type="dxa"/>
        <w:jc w:val="center"/>
        <w:tblInd w:w="0" w:type="dxa"/>
        <w:tblLayout w:type="fixed"/>
        <w:tblCellMar>
          <w:top w:w="28" w:type="dxa"/>
          <w:left w:w="28" w:type="dxa"/>
          <w:bottom w:w="28" w:type="dxa"/>
          <w:right w:w="28" w:type="dxa"/>
        </w:tblCellMar>
      </w:tblPr>
      <w:tblGrid>
        <w:gridCol w:w="448"/>
        <w:gridCol w:w="367"/>
        <w:gridCol w:w="281"/>
        <w:gridCol w:w="211"/>
        <w:gridCol w:w="976"/>
        <w:gridCol w:w="109"/>
        <w:gridCol w:w="109"/>
        <w:gridCol w:w="109"/>
        <w:gridCol w:w="109"/>
        <w:gridCol w:w="270"/>
        <w:gridCol w:w="520"/>
        <w:gridCol w:w="141"/>
        <w:gridCol w:w="109"/>
        <w:gridCol w:w="109"/>
        <w:gridCol w:w="109"/>
        <w:gridCol w:w="211"/>
        <w:gridCol w:w="631"/>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Short-term Marketable Securities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Long-term Marketable Securities</w:t>
            </w:r>
            <w:r>
              <w:rPr>
                <w:rFonts w:ascii="Times New Roman;serif" w:hAnsi="Times New Roman;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824" w:type="dxa"/>
        <w:jc w:val="center"/>
        <w:tblInd w:w="0" w:type="dxa"/>
        <w:tblLayout w:type="fixed"/>
        <w:tblCellMar>
          <w:top w:w="28" w:type="dxa"/>
          <w:left w:w="28" w:type="dxa"/>
          <w:bottom w:w="28" w:type="dxa"/>
          <w:right w:w="28" w:type="dxa"/>
        </w:tblCellMar>
      </w:tblPr>
      <w:tblGrid>
        <w:gridCol w:w="463"/>
        <w:gridCol w:w="367"/>
        <w:gridCol w:w="281"/>
        <w:gridCol w:w="211"/>
        <w:gridCol w:w="826"/>
        <w:gridCol w:w="109"/>
        <w:gridCol w:w="109"/>
        <w:gridCol w:w="109"/>
        <w:gridCol w:w="109"/>
        <w:gridCol w:w="211"/>
        <w:gridCol w:w="616"/>
        <w:gridCol w:w="109"/>
        <w:gridCol w:w="109"/>
        <w:gridCol w:w="109"/>
        <w:gridCol w:w="109"/>
        <w:gridCol w:w="270"/>
        <w:gridCol w:w="520"/>
        <w:gridCol w:w="14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Short-term Marketable Securities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Long-term Marketable Securities</w:t>
            </w:r>
            <w:r>
              <w:rPr>
                <w:rFonts w:ascii="Times New Roman;serif" w:hAnsi="Times New Roman;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(1)The Company’s short-term marketable securities mature in one year or less.</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(2)The Company’s long-term marketable securities mature between one and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4129" w:type="dxa"/>
        <w:jc w:val="left"/>
        <w:tblInd w:w="0" w:type="dxa"/>
        <w:tblLayout w:type="fixed"/>
        <w:tblCellMar>
          <w:top w:w="28" w:type="dxa"/>
          <w:left w:w="28" w:type="dxa"/>
          <w:bottom w:w="28" w:type="dxa"/>
          <w:right w:w="28" w:type="dxa"/>
        </w:tblCellMar>
      </w:tblPr>
      <w:tblGrid>
        <w:gridCol w:w="527"/>
        <w:gridCol w:w="463"/>
        <w:gridCol w:w="466"/>
        <w:gridCol w:w="211"/>
        <w:gridCol w:w="721"/>
        <w:gridCol w:w="109"/>
        <w:gridCol w:w="109"/>
        <w:gridCol w:w="109"/>
        <w:gridCol w:w="109"/>
        <w:gridCol w:w="253"/>
        <w:gridCol w:w="867"/>
        <w:gridCol w:w="185"/>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926" w:type="dxa"/>
        <w:jc w:val="center"/>
        <w:tblInd w:w="0" w:type="dxa"/>
        <w:tblLayout w:type="fixed"/>
        <w:tblCellMar>
          <w:top w:w="28" w:type="dxa"/>
          <w:left w:w="28" w:type="dxa"/>
          <w:bottom w:w="28" w:type="dxa"/>
          <w:right w:w="28" w:type="dxa"/>
        </w:tblCellMar>
      </w:tblPr>
      <w:tblGrid>
        <w:gridCol w:w="1140"/>
        <w:gridCol w:w="1003"/>
        <w:gridCol w:w="1006"/>
        <w:gridCol w:w="211"/>
        <w:gridCol w:w="826"/>
        <w:gridCol w:w="109"/>
        <w:gridCol w:w="109"/>
        <w:gridCol w:w="109"/>
        <w:gridCol w:w="109"/>
        <w:gridCol w:w="231"/>
        <w:gridCol w:w="905"/>
        <w:gridCol w:w="168"/>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109,242 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$1.4 million and $1.3 million for the three months ended June 30, 2026 and 2025, respectively, and $2.9 million and $2.8 million for the six months ended June 30, 2026 and 2025, respectively. Depreciation expense capitalized into inventory was $1.2 million and $1.1 million for the three months ended June 30, 2026 and 2025, respectively, and $2.2 million and $2.0 million for the six months ended June 30, 2026 and 2025, respectively.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June 30, 2026 and December 31, 2025:</w:t>
      </w:r>
    </w:p>
    <w:tbl>
      <w:tblPr>
        <w:tblW w:w="6606" w:type="dxa"/>
        <w:jc w:val="left"/>
        <w:tblInd w:w="0" w:type="dxa"/>
        <w:tblLayout w:type="fixed"/>
        <w:tblCellMar>
          <w:top w:w="28" w:type="dxa"/>
          <w:left w:w="28" w:type="dxa"/>
          <w:bottom w:w="28" w:type="dxa"/>
          <w:right w:w="28" w:type="dxa"/>
        </w:tblCellMar>
      </w:tblPr>
      <w:tblGrid>
        <w:gridCol w:w="1384"/>
        <w:gridCol w:w="1219"/>
        <w:gridCol w:w="1221"/>
        <w:gridCol w:w="211"/>
        <w:gridCol w:w="721"/>
        <w:gridCol w:w="109"/>
        <w:gridCol w:w="109"/>
        <w:gridCol w:w="109"/>
        <w:gridCol w:w="109"/>
        <w:gridCol w:w="255"/>
        <w:gridCol w:w="873"/>
        <w:gridCol w:w="132"/>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preclinical and clinical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Agreements with Contract Manufacturing Organizations and Contract Research Organizations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enters into various agreements in the normal course of business with Contract Manufacturing Organizations (“CMOs”), Contract Research Organizations (“CROs”) and other third parties for preclinical research studies, clinical trials and testing and manufacturing services. The agreements with CMOs primarily relate to the manufacturing of our sterile gel that is mixed with in-house produced vectors as part of the final drug product for VYJUVEK. Agreements with third parties may also include research and development consulting activities, clinical-trial agreements, testing of our clinical-stage, pre-commercial and commercial stage products and/or storage, packaging and labeling. The Company is obligated to make milestone payments under certain of these contracts. The Company incurred research and development expenses related to commitments under these agreements of $2.4 million and $2.2 million for the three months ended June 30, 2026 and June 30, 2025, respectively, and $4.9 million and $4.3 million for the six months ended June 30, 2026 and June 30, 2025,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the ordinary course of business, the Company is subject from time to time to various proceedings, lawsuits, disputes, or claims. In accordance with FASB ASC Topic 450, </w:t>
      </w:r>
      <w:r>
        <w:rPr>
          <w:rFonts w:ascii="Times New Roman;serif" w:hAnsi="Times New Roman;serif"/>
          <w:b w:val="false"/>
          <w:i/>
          <w:color w:val="000000"/>
          <w:sz w:val="20"/>
        </w:rPr>
        <w:t>Contingencie</w:t>
      </w:r>
      <w:r>
        <w:rPr>
          <w:rFonts w:ascii="Times New Roman;serif" w:hAnsi="Times New Roman;serif"/>
          <w:b w:val="false"/>
          <w:color w:val="000000"/>
          <w:sz w:val="20"/>
        </w:rPr>
        <w:t>s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the Company and certain of its employees received subpoenas from the U.S. Department of Justice requesting that the Company produce certain documents regarding its sponsored genetic testing program relating to VYJUVEK and commercial practices relating thereto. The Company is cooperating and providing information in response to the subpoenas. It is not possible to estimate the amount of any loss or range of possible loss that might result from this inquiry, and because the final outcome cannot be predicted with certainty, unfavorable or unexpected developments or outcomes could result in a material impact to the Company’s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18, 2025, a stockholder filed a derivative complaint in the Court of Chancery of the State of Delaware, naming the Company’s directors as defendants and the Company as a nominal defendant. The complaint alleged claims for breach of fiduciary duty, unjust enrichment, and waste of corporate assets based on allegedly excessive non-employee director compensation in each of 2021 through 2024. The parties have entered into a settlement agreement, which was filed with the Court and is subject to Court approval following a fairness hearing scheduled for September 14, 2026. If the Court approves the settlement, the Company will adopt, implement, and maintain certain corporate governance reforms for a period of five (5) years. The Company has recorded a liability for the plaintiff’s attorneys fees and expenses (i.e., the settlement amount), which is not material to the condensed consolidated financial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29, 2026, Jonathan Forman filed a lawsuit against the Company in the United States District Court for the District of Delaware (Docket No. 1:26-cv-00628) asserting claims for correction of inventorship, under 35 U.S.C. § 256, of U.S. Patent No. 10,829,529 and U.S. Patent No. 12,522,636 (together, the “Patents”), which relate to compositions and methods for delivering CFTR polypeptides and which the plaintiff alleges are embodied in the Company’s KB407 product candidate for the treatment of cystic fibrosis. The plaintiff alleges that he conceived of, and contributed to, the inventions claimed in the Patents and that he was erroneously omitted as a named inventor on the Patents. In addition to the correction of inventorship, the plaintiff is seeking his attorneys’ fees and his cost and expenses. The Company believes the plaintiff’s claims are without merit and intends to defend the matter vigorously. The Company is unable to estimate the possible loss or range of losses, if any, that may result from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future minimum commitments under the Company’s operating leases with lease terms in excess of 12 months were as follows:</w:t>
      </w:r>
    </w:p>
    <w:tbl>
      <w:tblPr>
        <w:tblW w:w="5203" w:type="dxa"/>
        <w:jc w:val="left"/>
        <w:tblInd w:w="0" w:type="dxa"/>
        <w:tblLayout w:type="fixed"/>
        <w:tblCellMar>
          <w:top w:w="28" w:type="dxa"/>
          <w:left w:w="28" w:type="dxa"/>
          <w:bottom w:w="28" w:type="dxa"/>
          <w:right w:w="28" w:type="dxa"/>
        </w:tblCellMar>
      </w:tblPr>
      <w:tblGrid>
        <w:gridCol w:w="1292"/>
        <w:gridCol w:w="1138"/>
        <w:gridCol w:w="1139"/>
        <w:gridCol w:w="350"/>
        <w:gridCol w:w="1027"/>
        <w:gridCol w:w="257"/>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minimum operating lease payments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weighted-average remaining lease term for operating leases was 9.8 years and 10.1 years, respectively, and the Company’s weighted-average discount rate for operating leases was 9.7% as of June 30,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lease expense are as follows:</w:t>
      </w:r>
    </w:p>
    <w:tbl>
      <w:tblPr>
        <w:tblW w:w="8683" w:type="dxa"/>
        <w:jc w:val="left"/>
        <w:tblInd w:w="0" w:type="dxa"/>
        <w:tblLayout w:type="fixed"/>
        <w:tblCellMar>
          <w:top w:w="28" w:type="dxa"/>
          <w:left w:w="28" w:type="dxa"/>
          <w:bottom w:w="28" w:type="dxa"/>
          <w:right w:w="28" w:type="dxa"/>
        </w:tblCellMar>
      </w:tblPr>
      <w:tblGrid>
        <w:gridCol w:w="755"/>
        <w:gridCol w:w="664"/>
        <w:gridCol w:w="666"/>
        <w:gridCol w:w="109"/>
        <w:gridCol w:w="285"/>
        <w:gridCol w:w="285"/>
        <w:gridCol w:w="551"/>
        <w:gridCol w:w="1218"/>
        <w:gridCol w:w="285"/>
        <w:gridCol w:w="109"/>
        <w:gridCol w:w="109"/>
        <w:gridCol w:w="109"/>
        <w:gridCol w:w="265"/>
        <w:gridCol w:w="585"/>
        <w:gridCol w:w="136"/>
        <w:gridCol w:w="136"/>
        <w:gridCol w:w="136"/>
        <w:gridCol w:w="136"/>
        <w:gridCol w:w="265"/>
        <w:gridCol w:w="585"/>
        <w:gridCol w:w="136"/>
        <w:gridCol w:w="109"/>
        <w:gridCol w:w="109"/>
        <w:gridCol w:w="109"/>
        <w:gridCol w:w="211"/>
        <w:gridCol w:w="46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0"/>
              <w:ind w:left="0" w:right="0" w:hanging="72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158"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2017, the Company adopted the 2017 IPO Stock Incentive Plan (“Plan”), which governs the issuance of equity awards to employees, certain non-employee consultants, and directors. Initially, the Company reserved 900 thousand shares for issuance under the Plan with an initial sublimit for incentive stock options of 900 thousand shares. On an annual basis, the amount of shares available for issuance under the Plan increases by an amount equal to four percent of the total outstanding shares as of the last day of the preceding calendar year. The sublimit of incentive stock options is not subject to the increase. The Company has historically granted stock options, restricted stock awards (“RSAs”), restricted stock units (“RSUs”) and performance-based restricted stock units (“PSUs”) to certain employees.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common stock remaining available for grant under the Plan were approximately 1.6 million as of June 30,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six months ended June 30, 2026:</w:t>
      </w:r>
    </w:p>
    <w:tbl>
      <w:tblPr>
        <w:tblW w:w="10205" w:type="dxa"/>
        <w:jc w:val="center"/>
        <w:tblInd w:w="0" w:type="dxa"/>
        <w:tblLayout w:type="fixed"/>
        <w:tblCellMar>
          <w:top w:w="28" w:type="dxa"/>
          <w:left w:w="28" w:type="dxa"/>
          <w:bottom w:w="28" w:type="dxa"/>
          <w:right w:w="28" w:type="dxa"/>
        </w:tblCellMar>
      </w:tblPr>
      <w:tblGrid>
        <w:gridCol w:w="612"/>
        <w:gridCol w:w="538"/>
        <w:gridCol w:w="539"/>
        <w:gridCol w:w="640"/>
        <w:gridCol w:w="476"/>
        <w:gridCol w:w="477"/>
        <w:gridCol w:w="109"/>
        <w:gridCol w:w="109"/>
        <w:gridCol w:w="109"/>
        <w:gridCol w:w="404"/>
        <w:gridCol w:w="1383"/>
        <w:gridCol w:w="210"/>
        <w:gridCol w:w="109"/>
        <w:gridCol w:w="109"/>
        <w:gridCol w:w="109"/>
        <w:gridCol w:w="757"/>
        <w:gridCol w:w="757"/>
        <w:gridCol w:w="758"/>
        <w:gridCol w:w="109"/>
        <w:gridCol w:w="109"/>
        <w:gridCol w:w="109"/>
        <w:gridCol w:w="277"/>
        <w:gridCol w:w="1089"/>
        <w:gridCol w:w="145"/>
        <w:gridCol w:w="162"/>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Remaining Contractual Life</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Aggregate Intrinsic Value</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2,030,417 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323,080 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(302,747)</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(75,646)</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1,975,104 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475,417 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1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1,193,485 </w:t>
            </w:r>
          </w:p>
        </w:tc>
        <w:tc>
          <w:tcPr>
            <w:tcW w:w="4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345,113 </w:t>
            </w:r>
          </w:p>
        </w:tc>
        <w:tc>
          <w:tcPr>
            <w:tcW w:w="1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(1)Aggregate intrinsic value represents the difference between the closing stock price of our common stock on December 31, 2025 and June 30, 2026 and the exercise price of outstanding in-the-money options on the respective date.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six months ended June 30, 2025:</w:t>
      </w:r>
    </w:p>
    <w:tbl>
      <w:tblPr>
        <w:tblW w:w="10205" w:type="dxa"/>
        <w:jc w:val="center"/>
        <w:tblInd w:w="0" w:type="dxa"/>
        <w:tblLayout w:type="fixed"/>
        <w:tblCellMar>
          <w:top w:w="28" w:type="dxa"/>
          <w:left w:w="28" w:type="dxa"/>
          <w:bottom w:w="28" w:type="dxa"/>
          <w:right w:w="28" w:type="dxa"/>
        </w:tblCellMar>
      </w:tblPr>
      <w:tblGrid>
        <w:gridCol w:w="612"/>
        <w:gridCol w:w="538"/>
        <w:gridCol w:w="539"/>
        <w:gridCol w:w="640"/>
        <w:gridCol w:w="476"/>
        <w:gridCol w:w="477"/>
        <w:gridCol w:w="109"/>
        <w:gridCol w:w="109"/>
        <w:gridCol w:w="109"/>
        <w:gridCol w:w="404"/>
        <w:gridCol w:w="1383"/>
        <w:gridCol w:w="210"/>
        <w:gridCol w:w="109"/>
        <w:gridCol w:w="109"/>
        <w:gridCol w:w="109"/>
        <w:gridCol w:w="757"/>
        <w:gridCol w:w="757"/>
        <w:gridCol w:w="758"/>
        <w:gridCol w:w="109"/>
        <w:gridCol w:w="109"/>
        <w:gridCol w:w="109"/>
        <w:gridCol w:w="277"/>
        <w:gridCol w:w="1089"/>
        <w:gridCol w:w="145"/>
        <w:gridCol w:w="162"/>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Remaining Contractual Life</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Aggregate Intrinsic Value</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2,049,063 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335,743 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(45,533)</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2,275,288 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11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1,255,141 </w:t>
            </w:r>
          </w:p>
        </w:tc>
        <w:tc>
          <w:tcPr>
            <w:tcW w:w="4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85,882 </w:t>
            </w:r>
          </w:p>
        </w:tc>
        <w:tc>
          <w:tcPr>
            <w:tcW w:w="1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(1)Aggregate intrinsic value represents the difference between the closing stock price of our Common Stock on December 31, 2024 and June 30, 2025 and the exercise price of outstanding in-the-money options on the respective date.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intrinsic value (the amount by which the fair market value exceeds the exercise price) of stock options exercised was $30.4 million and $2.0 million during the three months ended June 30, 2026 and 2025, respectively, and $62.5 million and $3.4 million for the six months ended June 30, 2026 and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per share of options granted to employees and directors was $196.07 and $87.69 during the three months ended June 30, 2026 and 2025, respectively, and $178.27 and $109.93 for the six months ended June 30, 2026 and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$90.6 million of unrecognized stock-based compensation expense related to employees’ and directors’ options that is expected to be recognized over a weighted-average period of 3.1 years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w:t>
      </w:r>
    </w:p>
    <w:tbl>
      <w:tblPr>
        <w:tblW w:w="10205" w:type="dxa"/>
        <w:jc w:val="left"/>
        <w:tblInd w:w="0" w:type="dxa"/>
        <w:tblLayout w:type="fixed"/>
        <w:tblCellMar>
          <w:top w:w="28" w:type="dxa"/>
          <w:left w:w="28" w:type="dxa"/>
          <w:bottom w:w="28" w:type="dxa"/>
          <w:right w:w="28" w:type="dxa"/>
        </w:tblCellMar>
      </w:tblPr>
      <w:tblGrid>
        <w:gridCol w:w="664"/>
        <w:gridCol w:w="582"/>
        <w:gridCol w:w="586"/>
        <w:gridCol w:w="539"/>
        <w:gridCol w:w="386"/>
        <w:gridCol w:w="363"/>
        <w:gridCol w:w="109"/>
        <w:gridCol w:w="109"/>
        <w:gridCol w:w="109"/>
        <w:gridCol w:w="483"/>
        <w:gridCol w:w="1653"/>
        <w:gridCol w:w="251"/>
        <w:gridCol w:w="109"/>
        <w:gridCol w:w="109"/>
        <w:gridCol w:w="109"/>
        <w:gridCol w:w="539"/>
        <w:gridCol w:w="376"/>
        <w:gridCol w:w="363"/>
        <w:gridCol w:w="109"/>
        <w:gridCol w:w="109"/>
        <w:gridCol w:w="109"/>
        <w:gridCol w:w="472"/>
        <w:gridCol w:w="1614"/>
        <w:gridCol w:w="353"/>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beginning of period</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308,096 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133,756 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(106,567)</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(17,038)</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end of period</w:t>
            </w:r>
          </w:p>
        </w:tc>
        <w:tc>
          <w:tcPr>
            <w:tcW w:w="9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304,491 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338,878 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$51.9 million of unrecognized stock-based compensation expense related to employees’ RSU awards that is expected to be recognized over a weighted-average period of 2.9 years as of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PSU activity:</w:t>
      </w:r>
    </w:p>
    <w:tbl>
      <w:tblPr>
        <w:tblW w:w="10205" w:type="dxa"/>
        <w:jc w:val="left"/>
        <w:tblInd w:w="0" w:type="dxa"/>
        <w:tblLayout w:type="fixed"/>
        <w:tblCellMar>
          <w:top w:w="28" w:type="dxa"/>
          <w:left w:w="28" w:type="dxa"/>
          <w:bottom w:w="28" w:type="dxa"/>
          <w:right w:w="28" w:type="dxa"/>
        </w:tblCellMar>
      </w:tblPr>
      <w:tblGrid>
        <w:gridCol w:w="669"/>
        <w:gridCol w:w="587"/>
        <w:gridCol w:w="590"/>
        <w:gridCol w:w="495"/>
        <w:gridCol w:w="365"/>
        <w:gridCol w:w="366"/>
        <w:gridCol w:w="109"/>
        <w:gridCol w:w="109"/>
        <w:gridCol w:w="109"/>
        <w:gridCol w:w="487"/>
        <w:gridCol w:w="1668"/>
        <w:gridCol w:w="254"/>
        <w:gridCol w:w="109"/>
        <w:gridCol w:w="109"/>
        <w:gridCol w:w="109"/>
        <w:gridCol w:w="539"/>
        <w:gridCol w:w="379"/>
        <w:gridCol w:w="366"/>
        <w:gridCol w:w="109"/>
        <w:gridCol w:w="109"/>
        <w:gridCol w:w="109"/>
        <w:gridCol w:w="476"/>
        <w:gridCol w:w="1628"/>
        <w:gridCol w:w="355"/>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PSUs, beginning of period</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PSUs, end of period</w:t>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43,536 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275.64 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56,250 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PSUs granted during the period are subject to regulatory performance-based vesting conditions, as determined by the Compensation Committee of the Company’s Board of Directors, and vest on a three year cliff basis upon satisfaction of such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$10.7 million of unrecognized stock-based compensation expense related to employees’ PSU awards that is expected to be recognized over a weighted-average period of 2.7 years as of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net related to its stock options, RSUs and PSUs in the condensed consolidated statements of operations and comprehensive income for the three and six months ended June 30, 2026 and 2025 as follows:</w:t>
      </w:r>
    </w:p>
    <w:tbl>
      <w:tblPr>
        <w:tblW w:w="9836" w:type="dxa"/>
        <w:jc w:val="left"/>
        <w:tblInd w:w="0" w:type="dxa"/>
        <w:tblLayout w:type="fixed"/>
        <w:tblCellMar>
          <w:top w:w="28" w:type="dxa"/>
          <w:left w:w="28" w:type="dxa"/>
          <w:bottom w:w="28" w:type="dxa"/>
          <w:right w:w="28" w:type="dxa"/>
        </w:tblCellMar>
      </w:tblPr>
      <w:tblGrid>
        <w:gridCol w:w="1069"/>
        <w:gridCol w:w="941"/>
        <w:gridCol w:w="944"/>
        <w:gridCol w:w="109"/>
        <w:gridCol w:w="227"/>
        <w:gridCol w:w="227"/>
        <w:gridCol w:w="440"/>
        <w:gridCol w:w="1503"/>
        <w:gridCol w:w="227"/>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capitalized into inventory stock-based compensation associated with the allocation of labor costs related to work performed to manufacture VYJUVEK of $1.1 million and $1.0 million for the three months ended June 30, 2026 and 2025, respectively, and $2.0 million and $1.9 million for the six months ended June 30, 2026 and 2025, respectively.</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expense of $11.3 million and $16.8 million for the three and six months ended June 30, 2026, respectively. The tax expense for interim periods is calculated using an estimate of the annual effective tax rate, adjusted for discrete items. If there are any changes to the estimated annual effective tax rate, the Company will make a cumulative adjustment to the income tax provision in the period the change becomes known. The Company recorded an income tax expense of $8.4 million and $16.3 million for the three and six months ended June 30, 2025, respectively.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monitor the realizability of our deferred tax assets taking into consideration all relevant factors at each reporting period. As of June 30, 2026, except for certain state net operating loss carryforward and tax credit carryforward, we do not have valuation allowance against deferred tax assets. We continue to maintain a full valuation allowance against certain state attributes as of June 30, 2026, because we concluded they are not more likely than not to be realized as we expect certain state attribute generation in future years to exceed our ability to use these deferred tax assets.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in many foreign jurisdictions. Significant judgment is required in determining our provision for income taxes, our deferred tax assets and liabilities and any valuation allowance recorded against our net deferred tax assets that are not more likely than not to be realized. The determination of the realizability of deferred tax assets requires significant judgment in assessing the likelihood of future tax consequences. The Company previously maintained a full valuation allowance against its U.S. federal and state deferred tax assets due to historical cumulative losses and uncertainty regarding the realization of such assets. The Company will continue to evaluate all available evidence each reporting period and may adjust the valuation allowance in future periods if estimates of future taxable income or other relevant factors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which is focused on the discovery, development, manufacturing and commercialization of genetic medicines to treat diseases with high unmet medical needs. The Company’s chief operating decision maker (“CODM”), our chief executive officer, utilizes financial information presented on a consolidated basis to manage and allocate resources. The CODM uses consolidated gross margin, operating margin, net income and total research and development expenses by product candidate or program to assess performance, forecast future financial results and to allocate resources.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months ended June 30, 2026, and 2025:</w:t>
      </w:r>
    </w:p>
    <w:p>
      <w:pPr>
        <w:pStyle w:val="TextBody"/>
        <w:bidi w:val="0"/>
        <w:spacing w:before="120" w:after="283"/>
        <w:ind w:left="0" w:right="0" w:firstLine="720"/>
        <w:jc w:val="left"/>
        <w:rPr/>
      </w:pPr>
      <w:r>
        <w:rPr/>
      </w:r>
    </w:p>
    <w:tbl>
      <w:tblPr>
        <w:tblW w:w="9543" w:type="dxa"/>
        <w:jc w:val="left"/>
        <w:tblInd w:w="0" w:type="dxa"/>
        <w:tblLayout w:type="fixed"/>
        <w:tblCellMar>
          <w:top w:w="28" w:type="dxa"/>
          <w:left w:w="28" w:type="dxa"/>
          <w:bottom w:w="28" w:type="dxa"/>
          <w:right w:w="28" w:type="dxa"/>
        </w:tblCellMar>
      </w:tblPr>
      <w:tblGrid>
        <w:gridCol w:w="1227"/>
        <w:gridCol w:w="1080"/>
        <w:gridCol w:w="108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B-VEC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KB111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KB304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KB407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KB408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KB707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KB801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KB803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candidates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research and development costs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38,333 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74,067 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and other unallocated expenses which consist of shared pre-commercial manufacturing costs, primarily relating to certain raw materials, process development, quality control and quality assurance activities, as well as other manufacturing and facility related costs including rent, storage and depreciation which support the development of multiple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events or transactions that occur after the balance sheet date, but prior to the issuance of the financial statements, to identify matters that require recognition or disclosure. The Company concluded that no subsequent events have occurred that would require recognition or disclosure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the unaudited condensed consolidated financial statements and related notes included in Item 1 of Part I of this Quarterly Report on Form 10-Q and with the audited financial statements and the related notes included in our Annual Report on Form 10-K for the fiscal year ended December 31, 2025 (the “2025 10-K”), as filed with the SEC on February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or the Securities Act, and Section 21E of the Securities Exchange Act of 1934, as amended, or the Exchange Act.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appearing in this Quarterly Report on Form 10-Q include, but are not limited to, statements about the following, among other things: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commercialization plans in the United States, the European Union (the “EU”), Japan, the United Kingdom (the “UK”), and elsewhere for our first commercial product, VYJUVEK</w:t>
      </w:r>
      <w:r>
        <w:rPr>
          <w:color w:val="000000"/>
        </w:rPr>
        <w:t xml:space="preserve"> </w:t>
      </w:r>
      <w:r>
        <w:rPr>
          <w:rFonts w:ascii="Times New Roman;serif" w:hAnsi="Times New Roman;serif"/>
          <w:b w:val="false"/>
          <w:color w:val="000000"/>
          <w:sz w:val="20"/>
        </w:rPr>
        <w:t>(beremagene geperpavec-svdt) for the treatment of dystrophic epidermolysis bullosa (“DEB”), including timing of pricing negotiations and potential commercial launches;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design, initiation, enrollment, timing, progress, and results of clinical trials for our product candidates, as well as expected timing of regulatory filings and reporting of data readouts from our clinical trials;</w:t>
      </w:r>
    </w:p>
    <w:p>
      <w:pPr>
        <w:pStyle w:val="TextBody"/>
        <w:bidi w:val="0"/>
        <w:spacing w:lineRule="auto" w:line="288" w:before="70" w:after="283"/>
        <w:ind w:left="0" w:right="0" w:hanging="360"/>
        <w:jc w:val="both"/>
        <w:rPr/>
      </w:pPr>
      <w:r>
        <w:rPr>
          <w:color w:val="000000"/>
        </w:rPr>
        <w:t>•</w:t>
      </w:r>
      <w:r>
        <w:rPr>
          <w:rFonts w:ascii="Times New Roman;serif" w:hAnsi="Times New Roman;serif"/>
          <w:b w:val="false"/>
          <w:color w:val="000000"/>
          <w:sz w:val="20"/>
        </w:rPr>
        <w:t xml:space="preserve">our beliefs about our proprietary HSV-1 based vector platform; </w:t>
      </w:r>
    </w:p>
    <w:p>
      <w:pPr>
        <w:pStyle w:val="TextBody"/>
        <w:bidi w:val="0"/>
        <w:spacing w:lineRule="auto" w:line="288" w:before="70" w:after="283"/>
        <w:ind w:left="0" w:right="0" w:hanging="360"/>
        <w:jc w:val="both"/>
        <w:rPr/>
      </w:pPr>
      <w:r>
        <w:rPr>
          <w:color w:val="000000"/>
        </w:rPr>
        <w:t>•</w:t>
      </w:r>
      <w:r>
        <w:rPr>
          <w:rFonts w:ascii="Times New Roman;serif" w:hAnsi="Times New Roman;serif"/>
          <w:b w:val="false"/>
          <w:color w:val="000000"/>
          <w:sz w:val="20"/>
        </w:rPr>
        <w:t>our expectations regarding future fluctuations in revenue and anticipated increases in certain expenses; and</w:t>
      </w:r>
    </w:p>
    <w:p>
      <w:pPr>
        <w:pStyle w:val="TextBody"/>
        <w:bidi w:val="0"/>
        <w:spacing w:lineRule="auto" w:line="288" w:before="70" w:after="283"/>
        <w:ind w:left="0" w:right="0" w:hanging="360"/>
        <w:jc w:val="both"/>
        <w:rPr/>
      </w:pPr>
      <w:r>
        <w:rPr>
          <w:color w:val="000000"/>
        </w:rPr>
        <w:t>•</w:t>
      </w:r>
      <w:r>
        <w:rPr>
          <w:rFonts w:ascii="Times New Roman;serif" w:hAnsi="Times New Roman;serif"/>
          <w:b w:val="false"/>
          <w:color w:val="000000"/>
          <w:sz w:val="20"/>
        </w:rPr>
        <w:t>our commercialization, marketing, and manufacturing capabilities and strategy.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a number of risks, uncertainties and assumptions, including those referenced in Part I, Item 1A of the 2025 Form 10-K and other filings we make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You should read this Quarterly Report on Form 10-Q completely and with the understanding that our actual future results may be materially different from what we expect.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represent our management’s beliefs and assumptions only as of the date of filing this Quarterly Report on Form 10-Q with the SEC. Except as required by law, we assume no obligation to update these forward-looking statements publicly as a result of subsequent events, developments or otherwise, or to update the reasons actual results could differ materially from those anticipated in these forward-looking statements, even if new information becomes available in the future.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unless the context requires otherwise, all references to “Krystal,” the “Company,” “we,” “our,” “us,” or similar terms refer to Krystal Biotech, Inc., together with its consolidated subsidiaries. Web links throughout this Quarterly Report on Form 10-Q are provided for convenience only and are not intended to be active hyperlinks to the referenced websites. No content on the referenced websites shall be deemed incorporated by reference into this Quarterly Report on Form 10-Q.</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0" w:after="0"/>
        <w:jc w:val="both"/>
        <w:rPr/>
      </w:pPr>
      <w:r>
        <w:rPr>
          <w:rFonts w:ascii="Times New Roman;serif" w:hAnsi="Times New Roman;serif"/>
          <w:b/>
          <w:color w:val="000000"/>
          <w:sz w:val="20"/>
        </w:rPr>
        <w:t>Overview</w:t>
      </w:r>
      <w:r>
        <w:rPr>
          <w:color w:val="000000"/>
        </w:rPr>
        <w:t xml:space="preserv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fully integrated, global, commercial-stage biotechnology company focused on the discovery, development, manufacturing, and commercialization of genetic medicines to treat diseases with high unmet medical needs. Using our patented gene therapy technology platform that is based on engineered HSV-1,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 administration at a healthcare professional’s office or in the patient’s home. Our innovative technology platform is supported by two in-house, commercial scale CGMP manufacturing facilities.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Commercial Product</w:t>
      </w:r>
    </w:p>
    <w:p>
      <w:pPr>
        <w:pStyle w:val="TextBody"/>
        <w:bidi w:val="0"/>
        <w:spacing w:lineRule="auto" w:line="288" w:before="120" w:after="283"/>
        <w:jc w:val="both"/>
        <w:rPr/>
      </w:pPr>
      <w:r>
        <w:rPr>
          <w:rFonts w:ascii="Times New Roman;serif" w:hAnsi="Times New Roman;serif"/>
          <w:b/>
          <w:i/>
          <w:color w:val="000000"/>
          <w:sz w:val="20"/>
        </w:rPr>
        <w:t>VYJUVEK (beremagene geperpavec-svdt, or B-VEC)</w:t>
      </w:r>
      <w:r>
        <w:rPr>
          <w:color w:val="000000"/>
        </w:rPr>
        <w:t xml:space="preserve">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VYJUVEK is a non-invasive, topical, redosable gene therapy approved in the United States, the EU, the UK, and Japan for the treatment of DEB, a rare and severe monogenic disease that affects the skin and mucosal tissues and is caused by one or more mutations in a gene called </w:t>
      </w:r>
      <w:r>
        <w:rPr>
          <w:rFonts w:ascii="Times New Roman;serif" w:hAnsi="Times New Roman;serif"/>
          <w:b w:val="false"/>
          <w:i/>
          <w:color w:val="000000"/>
          <w:sz w:val="20"/>
        </w:rPr>
        <w:t>COL7A1</w:t>
      </w:r>
      <w:r>
        <w:rPr>
          <w:rFonts w:ascii="Times New Roman;serif" w:hAnsi="Times New Roman;serif"/>
          <w:b w:val="false"/>
          <w:color w:val="000000"/>
          <w:sz w:val="20"/>
        </w:rPr>
        <w:t xml:space="preserve">. VYJUVEK is designed to deliver two copies of the </w:t>
      </w:r>
      <w:r>
        <w:rPr>
          <w:rFonts w:ascii="Times New Roman;serif" w:hAnsi="Times New Roman;serif"/>
          <w:b w:val="false"/>
          <w:i/>
          <w:color w:val="000000"/>
          <w:sz w:val="20"/>
        </w:rPr>
        <w:t>COL7A1</w:t>
      </w:r>
      <w:r>
        <w:rPr>
          <w:color w:val="000000"/>
        </w:rPr>
        <w:t xml:space="preserve"> </w:t>
      </w:r>
      <w:r>
        <w:rPr>
          <w:rFonts w:ascii="Times New Roman;serif" w:hAnsi="Times New Roman;serif"/>
          <w:b w:val="false"/>
          <w:color w:val="000000"/>
          <w:sz w:val="20"/>
        </w:rPr>
        <w:t>gene when applied directly to DEB wounds, providing the patient’s skin cells the template to make normal type VII collagen protein and thereby addressing the fundamental disease-causing mechanism.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VYJUVEK was first approved by the United States Food and Drug Administration (“FDA”) in May 2023 for the treatment of wounds in patients, six months of age or older, suffering from DEB, making it the first and only corrective medicine approved by the FDA for the treatment of both recessive and dominant subtypes of DEB. In September 2025, the FDA approved a label update for VYJUVEK that expanded the treatment eligible population to include DEB patients from birth and provided patients with greater dosing flexibility, including the option for VYJUVEK to be applied by a healthcare professional, caregiver, or directly by the patient themselves, either at home or in a healthcare setting.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VYJUVEK was approved in Japan and the EU in 2025 and, in May 2026, received approval in the UK, making it the first and only corrective therapy approved for the treatment of DEB in each of those markets. All three approvals include flexible dosing options with the potential for patient or caregiver administration in the home setting.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possess exclusive rights to develop, manufacture, and commercialize VYJUVEK throughout the world. We are commercializing VYJUVEK directly in the United States, major European markets, and Japan, and are building a specialty distributor network to support the commercialization of VYJUVEK outside of our direct markets.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launched VYJUVEK in the United States in 2023, in Germany in August 2025, and in France and Japan in October 2025. The launch in France is under the post-marketing authorization early reimbursed access Accès Précoce program.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Pricing negotiations are underway in both Germany and France and are expected to continue until at least the second half of 2026 in Germany and 2027 in France. Pricing negotiations were successfully completed in Japan prior to launch.</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advancing pricing discussions across Europe and the UK, including discussions with Italian and Spanish reimbursement authorities to enable potential launches in both Italy and Spain in the second half of 2026. The timing of additional launches is uncertain and will depend on the cadence and outcomes of ongoing and planned regulatory interaction and pricing negotiations.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preparing multiple additional marketing authorization applications for VYJUVEK, including for Switzerland and Australia, which we expect to submit in the second half of 2026.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VYJUVEK product revenue was $119.2 million for the three months ended June 30, 2026, and $965.9 million in cumulative net product revenue since our first launch of VYJUVEK in the United States in 2023.</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June 30, 2026 was 95%. We define gross margin as product revenue, net less cost of goods sold expressed as a percentage of product revenue, 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Pipeline Highlights and Recent Developments</w:t>
      </w:r>
    </w:p>
    <w:p>
      <w:pPr>
        <w:pStyle w:val="TextBody"/>
        <w:bidi w:val="0"/>
        <w:spacing w:before="120" w:after="283"/>
        <w:jc w:val="left"/>
        <w:rPr/>
      </w:pPr>
      <w:r>
        <w:rPr/>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Ophthalmology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KB803 for Ocular Complications in Patients with DEB</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KB803 is a redosable eye drop formulation of B-VEC, designed for the treatment of ocular complications that are thought to affect over 25% of DEB patients. These complications, which include corneal erosions, abrasions, blistering and scarring, can lead to progressive vision loss. There is currently no corrective therapy available.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B-VEC has been applied topically to the eye of one DEB patient with severe cicatrizing conjunctivitis under a compassionate use protocol. The clinical observations of this compassionate use case were published in the </w:t>
      </w:r>
      <w:r>
        <w:rPr>
          <w:rFonts w:ascii="Times New Roman;serif" w:hAnsi="Times New Roman;serif"/>
          <w:b w:val="false"/>
          <w:i/>
          <w:color w:val="000000"/>
          <w:sz w:val="20"/>
        </w:rPr>
        <w:t>New England Journal of Medicine</w:t>
      </w:r>
      <w:r>
        <w:rPr>
          <w:color w:val="000000"/>
        </w:rPr>
        <w:t xml:space="preserve"> </w:t>
      </w:r>
      <w:r>
        <w:rPr>
          <w:rFonts w:ascii="Times New Roman;serif" w:hAnsi="Times New Roman;serif"/>
          <w:b w:val="false"/>
          <w:color w:val="000000"/>
          <w:sz w:val="20"/>
        </w:rPr>
        <w:t>in February 2024. Regular eye drop administration of B-VEC was well tolerated by the patient with no drug-related adverse events noted. Full corneal healing was observed at three months, as well as significant visual acuity improvement from hand motion to 20/25 by eight months.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2025, we announced that we dosed the first patient in IOLITE, an intra-patient, double-blind, placebo-controlled, multicenter Phase 3 registrational study with a crossover design to evaluate KB803 for the treatment and prevention of corneal abrasions in DEB patients, six months of age or older. After observing a promising clinical safety profile in the initial patients treated with Krystal’s eye drop gene therapies, we modified the KB803 dosing schedule to reduce the potential impact of human error in eye drop administration. In April 2026, we completed study enrollment, with a total of 16 patients enrolled under the updated IOLITE protocol. We expect to report top-line results from IOLITE before the end of the year. The primary efficacy endpoint of the IOLITE study is the change in the average number of days per month with corneal abrasion symptoms while receiving KB803 versus placebo. Safety and secondary efficacy data, including weekly assessments of eye pain and monthly Epidermolysis Bullosa Eye Disease Index questionnaires, are being collected through to the end of the 24-week study period.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enroll in IOLITE, patients first completed a 12-week run-in period in our natural history study, during which they reported the number of days they experienced symptoms of corneal abrasions. Additional details on both studies are available at www.clinicaltrials.gov under NCT identifiers NCT07016750 for IOLITE and NCT06563414 for the natural history study.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KB801 for Neurotrophic Keratitis (“NK”)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KB801 is an eye drop formulation of our novel HSV-1 based vector designed to deliver two transgene copies to the corneal epithelium for the sustained, localized expression and secretion of nerve growth factor (“NGF”) and treatment of NK, a rare, degenerative corneal disease caused by nerve damage in the eye that leads to corneal epithelial defects, ulcers, and perforation. Recombinant NGF eye drops have been shown to significantly improve corneal healing and are approved for the treatment of NK in multiple jurisdictions worldwide, including the United States, but rapid clearance from the eye requires intensive administration six times a day, with eye pain frequently reported, and may result in suboptimal treatment outcomes. By transducing the cells of the corneal epithelium to produce and secrete NGF, KB801 has the potential to significantly reduce the treatment burden for patients while also maintaining more consistent NGF levels in the front of the eye.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announced that we dosed the first patient in EMERALD-1, a randomized, double-masked, multicenter, placebo-controlled study evaluating KB801, administered as an eye drop, for the treatment of NK. In October 2025, the FDA granted platform technology designation to the engineered HSV-1 viral vector used in KB801, a designation which affords development and manufacturing efficiencies for the development of KB801. Following receipt of this designation, we amended the EMERALD-1 protocol to enable the study to serve as a registrational trial supporting the potential registration of KB801. Under the updated protocol, we expect to enroll approximately 60 adult patients with Stage 2 or Stage 3 NK, as defined by the Mackie criteria, randomized 1:1 to receive either KB801 or placebo. The primary efficacy endpoint of EMERALD-1 is the proportion of patients with complete healing of corneal epithelium at eight weeks. Enrollment in EMERALD-1 is ongoing. We expect to complete enrollment before the end of the year. More details of the EMERALD-1 study can be found at www.clinicaltrials.gov under NCT identifier NCT06999733. </w: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Respiratory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KB407 for Cystic Fibrosis (“CF”)</w:t>
      </w:r>
    </w:p>
    <w:p>
      <w:pPr>
        <w:pStyle w:val="TextBody"/>
        <w:bidi w:val="0"/>
        <w:spacing w:lineRule="auto" w:line="288" w:before="120" w:after="283"/>
        <w:ind w:left="0" w:right="0" w:firstLine="720"/>
        <w:jc w:val="both"/>
        <w:rPr/>
      </w:pPr>
      <w:r>
        <w:rPr>
          <w:rFonts w:ascii="Times New Roman;serif" w:hAnsi="Times New Roman;serif"/>
          <w:b w:val="false"/>
          <w:color w:val="000000"/>
          <w:sz w:val="20"/>
        </w:rPr>
        <w:t>KB407 is an inhaled (nebulized) formulation of our novel vector designed to deliver two copies of the full-length cystic fibrosis transmembrane conductance regulator (“</w:t>
      </w:r>
      <w:r>
        <w:rPr>
          <w:rFonts w:ascii="Times New Roman;serif" w:hAnsi="Times New Roman;serif"/>
          <w:b w:val="false"/>
          <w:i/>
          <w:color w:val="000000"/>
          <w:sz w:val="20"/>
        </w:rPr>
        <w:t>CFTR</w:t>
      </w:r>
      <w:r>
        <w:rPr>
          <w:color w:val="000000"/>
        </w:rPr>
        <w:t>”</w:t>
      </w:r>
      <w:r>
        <w:rPr>
          <w:rFonts w:ascii="Times New Roman;serif" w:hAnsi="Times New Roman;serif"/>
          <w:b w:val="false"/>
          <w:color w:val="000000"/>
          <w:sz w:val="20"/>
        </w:rPr>
        <w:t xml:space="preserve">) transgene for the treatment of CF, a serious rare lung disease caused by missing or mutated CFTR protein.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2023, we announced that we had dosed the first patient in our Phase 1 CORAL-1 study, a multi-center, dose-escalation trial of KB407 in patients with CF that included molecular assessments of CFTR delivery and expression in the third and highest dose cohort. In December 2024, we announced an interim safety data update from the first two dose cohorts of CORAL-1 and, in January 2026, interim safety and molecular data updates from the third dose cohort. KB407 was generally well tolerated across all three dose cohorts, and molecular assessments by bronchoscopy confirmed the successful delivery and expression of wild-type CFTR protein in patient’s lungs, with broad airway distribution and confirmation of KB407 transduction in all six CF patients with successful bronchoscopies.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now working closely with the FDA, the Cystic Fibrosis Foundation (“CFF"), and the CF Therapeutics Development Network Coordinating Center at Seattle Children’s Research Institute (“TDNCC”) on development pathways to support potential registration of KB407.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interactions with the FDA, we initiated an open label, single-arm study to evaluate the safety of repeat dose KB407 for 24 weeks in five patients with CF who are ineligible for, do not tolerate, or do not benefit from modulator therapy. Enrollment in the study is ongoing. We expect to complete enrollment and report interim results before the end of the year. Details of the study can be found at www.clinicaltrials.gov under NCT identifier: NCT05504837. Concurrently, we are in discussions with the FDA, CFF, and TDNCC regarding a potential innovative registrational study design and statistical analysis plan that explores using prospectively collected natural history data from the CFF and TDNCC to supplement placebo control data for evaluation of KB407 treatment effect. We expect to share the design and associated statistical analysis of the registrational study following alignment with the FDA, which is anticipated in the second half of 2026, and initiate the registrational study in 2027.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the FDA also granted platform technology designation to the engineered HSV-1 viral vector used in KB407, affording the program the same potential development and manufacturing efficiencies as KB801.</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KB408 for Alpha-1 Antitrypsin Deficiency (“AATD”) Lung Disease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KB408 is an inhaled (nebulized) formulation of our novel vector designed to deliver two copies of the serpin family A member 1 (“</w:t>
      </w:r>
      <w:r>
        <w:rPr>
          <w:rFonts w:ascii="Times New Roman;serif" w:hAnsi="Times New Roman;serif"/>
          <w:b w:val="false"/>
          <w:i/>
          <w:color w:val="000000"/>
          <w:sz w:val="20"/>
        </w:rPr>
        <w:t>SERPINA1</w:t>
      </w:r>
      <w:r>
        <w:rPr>
          <w:color w:val="000000"/>
          <w:u w:val="single"/>
        </w:rPr>
        <w:t>”</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transgene, that encodes for normal human alpha-1 antitrypsin (“AAT”) protein, for the treatment of AATD, a serious rare lung disease characterized by diminished or absent functional AAT protein in the lungs and unopposed neutrophil elastase activity resulting in progressive lung function decline.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February 2024, we announced that we dosed the first patient in SERPENTINE-1, a Phase 1, open-label, dose escalation study evaluating KB408, delivered via a nebulizer, in adult patients with AATD with a Pi*ZZ or a Pi*ZNull genotype. In December 2024, we announced an interim clinical update from the first two dose escalation cohorts of SERPENTINE-1. Inhaled KB408 was safe and well-tolerated at both tested dose levels and clear evidence of successful </w:t>
      </w:r>
      <w:r>
        <w:rPr>
          <w:rFonts w:ascii="Times New Roman;serif" w:hAnsi="Times New Roman;serif"/>
          <w:b w:val="false"/>
          <w:i/>
          <w:color w:val="000000"/>
          <w:sz w:val="20"/>
        </w:rPr>
        <w:t>SERPINA1</w:t>
      </w:r>
      <w:r>
        <w:rPr>
          <w:color w:val="000000"/>
        </w:rPr>
        <w:t xml:space="preserve"> </w:t>
      </w:r>
      <w:r>
        <w:rPr>
          <w:rFonts w:ascii="Times New Roman;serif" w:hAnsi="Times New Roman;serif"/>
          <w:b w:val="false"/>
          <w:color w:val="000000"/>
          <w:sz w:val="20"/>
        </w:rPr>
        <w:t xml:space="preserve">delivery and AAT expression was observed in both patients that underwent bronchoscopies. We have since confirmed </w:t>
      </w:r>
      <w:r>
        <w:rPr>
          <w:rFonts w:ascii="Times New Roman;serif" w:hAnsi="Times New Roman;serif"/>
          <w:b w:val="false"/>
          <w:i/>
          <w:color w:val="000000"/>
          <w:sz w:val="20"/>
        </w:rPr>
        <w:t>SERPINA1</w:t>
      </w:r>
      <w:r>
        <w:rPr>
          <w:color w:val="000000"/>
        </w:rPr>
        <w:t xml:space="preserve"> </w:t>
      </w:r>
      <w:r>
        <w:rPr>
          <w:rFonts w:ascii="Times New Roman;serif" w:hAnsi="Times New Roman;serif"/>
          <w:b w:val="false"/>
          <w:color w:val="000000"/>
          <w:sz w:val="20"/>
        </w:rPr>
        <w:t xml:space="preserve">delivery and functional AAT expression in a third patient dosed with KB408 in Cohort 2 and amended the SERPENTINE-1 protocol to investigate repeat dosing at the Cohort 2 dose level (the repeat dose cohort now referred to as “Cohort 2B”). A total of five patients were dosed in Cohort 2 of which three underwent bronchoscopy. The first patient in Cohort 2B was dosed in August 2025 and enrollment in this repeat dose cohort is ongoing. We expect to report interim safety and </w:t>
      </w:r>
      <w:r>
        <w:rPr>
          <w:rFonts w:ascii="Times New Roman;serif" w:hAnsi="Times New Roman;serif"/>
          <w:b w:val="false"/>
          <w:i/>
          <w:color w:val="000000"/>
          <w:sz w:val="20"/>
        </w:rPr>
        <w:t>SERPINA1</w:t>
      </w:r>
      <w:r>
        <w:rPr>
          <w:color w:val="000000"/>
        </w:rPr>
        <w:t xml:space="preserve"> </w:t>
      </w:r>
      <w:r>
        <w:rPr>
          <w:rFonts w:ascii="Times New Roman;serif" w:hAnsi="Times New Roman;serif"/>
          <w:b w:val="false"/>
          <w:color w:val="000000"/>
          <w:sz w:val="20"/>
        </w:rPr>
        <w:t>delivery data from the repeat dose Cohort 2B in 2027. Details of the Phase 1 study can be found at www.clinicaltrials.gov under NCT identifier: NCT06049082.</w:t>
      </w:r>
    </w:p>
    <w:p>
      <w:pPr>
        <w:pStyle w:val="TextBody"/>
        <w:bidi w:val="0"/>
        <w:spacing w:before="120" w:after="283"/>
        <w:ind w:left="0" w:right="0" w:firstLine="720"/>
        <w:jc w:val="both"/>
        <w:rPr/>
      </w:pPr>
      <w:r>
        <w:rPr/>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Dermatology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KB111 for Hailey-Hailey Disease (“HHD”)</w:t>
      </w:r>
    </w:p>
    <w:p>
      <w:pPr>
        <w:pStyle w:val="TextBody"/>
        <w:bidi w:val="0"/>
        <w:spacing w:lineRule="auto" w:line="288" w:before="120" w:after="283"/>
        <w:ind w:left="0" w:right="0" w:firstLine="720"/>
        <w:jc w:val="both"/>
        <w:rPr/>
      </w:pPr>
      <w:r>
        <w:rPr>
          <w:rFonts w:ascii="Times New Roman;serif" w:hAnsi="Times New Roman;serif"/>
          <w:b w:val="false"/>
          <w:color w:val="000000"/>
          <w:sz w:val="20"/>
        </w:rPr>
        <w:t>KB111 is a topical gel formulation of our novel vector designed to deliver two copies of the calcium-transporting ATPase type 2C member 1 (“</w:t>
      </w:r>
      <w:r>
        <w:rPr>
          <w:rFonts w:ascii="Times New Roman;serif" w:hAnsi="Times New Roman;serif"/>
          <w:b w:val="false"/>
          <w:i/>
          <w:color w:val="000000"/>
          <w:sz w:val="20"/>
        </w:rPr>
        <w:t>ATP2C1</w:t>
      </w:r>
      <w:r>
        <w:rPr>
          <w:color w:val="000000"/>
        </w:rPr>
        <w:t>”</w:t>
      </w:r>
      <w:r>
        <w:rPr>
          <w:rFonts w:ascii="Times New Roman;serif" w:hAnsi="Times New Roman;serif"/>
          <w:b w:val="false"/>
          <w:color w:val="000000"/>
          <w:sz w:val="20"/>
        </w:rPr>
        <w:t xml:space="preserve">) transgene for the treatment of HHD, a serious and rare monogenic skin disorder characterized by painful rash and blistering in skin folds and linked to low ATP2C1 expression levels in keratinocytes.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2025, the FDA cleared our investigational new drug application to evaluate KB111 in the clinic and, in January 2026, the FDA granted KB111 Fast Track Designation for the treatment of HHD. In April 2026, the FDA also granted platform technology designation to the engineered HSV-1 viral vector used in KB111, affording the program the same potential development and manufacturing efficiencies as KB801 and KB407.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developed and are currently validating an HHD-specific severity scale required for the clinical evaluation of KB111. We have also initiated an open label, single-arm study, HALITE-1, to evaluate the safety of repeat dose KB111, administered once weekly for 12 weeks, in approximately seven patients with HHD. Enrollment in HALITE-1 is ongoing. Details of the study can be found at www.clinicaltrials.gov under NCT identifier: NCT07717346. We expect to complete enrollment and report HALITE-1 interim study results before the end of the year. We plan to submit the results from HALITE-1 along with the registrational study design and scale for discussions with the FDA before year end to enable a potential registrational study start in 2027.</w:t>
      </w:r>
    </w:p>
    <w:p>
      <w:pPr>
        <w:pStyle w:val="TextBody"/>
        <w:bidi w:val="0"/>
        <w:spacing w:before="120" w:after="283"/>
        <w:jc w:val="both"/>
        <w:rPr/>
      </w:pPr>
      <w:r>
        <w:rPr/>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Oncology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KB707 for Solid Tumors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KB707 is a redosable, immunotherapy designed to deliver transgenes encoding both human interleukin-2 and interleukin-12 to the tumor microenvironment and promote systemic immune-mediated tumor clearance. Two formulations of KB707 are in development, a solution formulation for transcutaneous injection and an inhaled (nebulized) formulation for lung delivery. Both intratumoral and inhaled KB707 have been granted Rare Pediatric Disease Designations and Fast Track Designations by the FDA. In February 2026, the FDA also granted Regenerative Medicine Advanced Therapy designation to KB707 for the treatment of advanced or metastatic non-small cell lung cancer (“NSCLC”).</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Inhaled KB707 for NSCLC</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developing inhaled KB707 for the treatment of NSCLC based on early evidence of efficacy from KYANITE-1, an open label, multi-center, dose escalation and expansion Phase 1/2 study, evaluating inhaled KB707, as monotherapy or in combination, in patients with locally advanced or metastatic solid tumors of the lung. In June 2025, we disclosed our most recent clinical update on patients treated with inhaled KB707 as monotherapy in KYANITE-1. In an evaluable cohort of 11 patients with heavily pre-treated advanced NSCLC, patients treated with inhaled KB707 as monotherapy achieved an objective response rate (“ORR”) of 36% and a disease control rate (“DCR”) of 54%. Inhaled KB707 was also reported to be safe and generally well tolerated as monotherapy in the 39 patients included in the safety analysis. The majority of treatment-related adverse events were mild to moderate in severity and transient with no Grade 4 or 5 adverse events observed. In May 2026, we disclosed interim clinical results from a KYANITE-1 dose expansion cohort evaluating the safety and efficacy of inhaled KB707 plus pembrolizumab in patients with advanced NSCLC. The safety analysis included 21 patients who received at least one dose of the combination regimen of which 16 patients were also evaluable for efficacy. The combination regimen was well tolerated and effective in a late-line setting, achieving an ORR of 31% and a DCR of 75%. Responses were also durable with median duration of response and progression free survival not reached as of data cut-off.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Enrollment is ongoing in the final dose expansion cohort of KYANITE-1 evaluating a fixed dose of inhaled KB707 in combination with chemotherapy in patients with advanced NSCLC. We expect to complete enrollment later this year and report updated interim clinical results, as well as potential registrational study plans, in the first half of 2027. Details of the KYANITE-1 study can be found at www.clinicaltrials.gov under NCT identifier NCT06228326.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Intratumoral KB707 for Gorlin Syndrome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detecting promising early efficacy signals among basal cell carcinoma (“BCC”) patients treated with the lowest dose of intratumoral KB707 in the dose escalation phase of OPAL-1, our open label, multi-center, dose escalation and expansion Phase 1/2 study, we expanded the scope of the study to evaluate the safety and efficacy of this intratumoral KB707 dose in the treatment of patients with Gorlin syndrome. Gorlin syndrome is a rare genetic disease characterized by a significantly increased risk of developing BCC. Patients with Gorlin syndrome may have hundreds of BCCs over their lifetimes requiring frequent and potentially disfiguring surgeries. We have enrolled three patients with Gorlin syndrome in OPAL-1 and expect to provide an interim clinical update on these patients as well as outline potential development plans for intratumoral KB707 for the treatment of Gorlin syndrome later this year. Details of the OPAL-1 study can be found at www.clinicaltrials.gov under NCT identifier NCT05970497.</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Aesthetics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focusing on genetic medicines to treat patients with diseases with high unmet medical needs, we are leveraging the ability of our platform to deliver proteins of interest to cells in the skin in the context of aesthetic medicine via our wholly-owned subsidiary, Jeune Aesthetics, Inc. (“Jeune”).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Jeune’s lead clinical program, KB304, is a solution formulation of our novel vector for intradermal injection designed to deliver two copies of the collagen type III alpha 1 chain transgene and one copy of the elastin transgene to address various signs of skin aging including elasticity loss. In July 2025, Jeune announced positive safety and efficacy results, including significant improvements in key skin aesthetic attributes such as wrinkles and elasticity, in PEARL-2, a 2:1 randomized, double-blind, placebo-controlled Phase 1 study evaluating KB304, for the treatment of wrinkles of the décolleté.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broad aesthetic improvements observed in PEARL-2, Jeune is progressing KB304 into a Phase 2 study for the treatment of wrinkles of the décolleté. In support of the Phase 2 study, Jeune developed and validated a décolleté-specific photonumeric scale (“JDWS”) which was submitted to the FDA in the second half of 2025. Jeune has aligned with the FDA on the JDWS and expects to initiate the Phase 2 study in 2027.</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FDA approval of VYJUVEK in May 2023, we launched VYJUVEK in the United States in 2023, in Germany in August 2025 and in France and Japan in October 2025. Our future revenue will fluctuate from quarter to quarter for many reasons, including the uncertain timing and amount of sales of VYJUVEK.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that we recognize as revenue for VYJUVEK sales includes an estimate of variable consideration, which may include discounts, returns, and rebates that are offered within contracts. Refer to Note 3 of the notes to the condensed consolidated financial statements included in this Quarterly Report on Form 10-Q for additional information.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goods sold includes direct and indirect costs related to the manufacturing of VYJUVEK. These costs consist of manufacturing costs, personnel costs including stock-based compensation, facility costs, and other indirect overhead costs. Cost of goods sold may also include period costs related to certain manufacturing services and inventory adjustment charges.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to advance our preclinical and clinical development programs and the development and manufacturing of our product candidates, which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agreements with contract research organizations, consultants and other third parties that conduct preclinical activities, clinical trials and other research and development activities on our behalf;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of acquiring, developing and manufacturing product candidates and clinical trial materials, lab supplies and consumables;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facility costs, depreciation and other related expenses, which include expenses for rent and the maintenance of our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testing and support costs and supplies;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payroll related expenses, including stock-based compensation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to operations as incurred.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will increase as we continue the manufacturing of preclinical and clinical materials, manage the clinical trials of and seek regulatory approval for our product candidates and as we expand our product portfolio. Due to the numerous risks and uncertainties associated with product development, we cannot determine with certainty the duration, costs and timing of clinical trials, and as a result, the actual costs to complete clinical trials may exceed the expected costs.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principally of salaries and other related costs, including stock-based compensation for personnel in our executive, finance, legal, commercial, business development, information technology and other general and administrative functions and are expensed as incurred. Selling, general and administrative expenses also include professional fees associated with corporate and intellectual property-related legal expenses, consulting and accounting services, insurance, facility-related costs and expenses associated with obtaining and maintaining patents. Other selling, general and administrative costs include travel expenses, patient access program costs, management service fees, marketing expenses, and selling expenses which include transportation, shipping and handling fees.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selling, general and administrative expenses will increase in the future relating to our commercialization efforts and to support the development of our product candidates. These increases will likely include increased costs for insurance, costs related to the hiring of additional personnel and payments to outside consultants, lawyers and accountants, among other expenses. Additionally, we anticipate that we will continue to increase our salary and personnel costs and other expenses to support VYJUVEK commercialization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consists primarily of income earned from our cash, cash equivalents and investments and gains and losses on foreign currency transactions.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 Significant Judgments and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during the six months ended June 30, 2026 to our critical accounting policies, significant judgments and estimates as disclosed in our management’s discussion and analysis of financial condition and results of operations included in the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financial statements, which have been prepared in accordance with GAAP. The preparation of financial statements in conformity with GAAP requires us to make estimates and assumptions that affect the amounts reported in the financial statements and accompanying notes.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and 2025</w:t>
      </w:r>
    </w:p>
    <w:tbl>
      <w:tblPr>
        <w:tblW w:w="8021" w:type="dxa"/>
        <w:jc w:val="center"/>
        <w:tblInd w:w="0" w:type="dxa"/>
        <w:tblLayout w:type="fixed"/>
        <w:tblCellMar>
          <w:top w:w="28" w:type="dxa"/>
          <w:left w:w="28" w:type="dxa"/>
          <w:bottom w:w="28" w:type="dxa"/>
          <w:right w:w="28" w:type="dxa"/>
        </w:tblCellMar>
      </w:tblPr>
      <w:tblGrid>
        <w:gridCol w:w="1070"/>
        <w:gridCol w:w="942"/>
        <w:gridCol w:w="943"/>
        <w:gridCol w:w="220"/>
        <w:gridCol w:w="862"/>
        <w:gridCol w:w="113"/>
        <w:gridCol w:w="113"/>
        <w:gridCol w:w="113"/>
        <w:gridCol w:w="113"/>
        <w:gridCol w:w="220"/>
        <w:gridCol w:w="753"/>
        <w:gridCol w:w="113"/>
        <w:gridCol w:w="109"/>
        <w:gridCol w:w="109"/>
        <w:gridCol w:w="109"/>
        <w:gridCol w:w="211"/>
        <w:gridCol w:w="721"/>
        <w:gridCol w:w="109"/>
        <w:gridCol w:w="109"/>
        <w:gridCol w:w="109"/>
        <w:gridCol w:w="109"/>
        <w:gridCol w:w="216"/>
        <w:gridCol w:w="219"/>
        <w:gridCol w:w="316"/>
      </w:tblGrid>
      <w:tr>
        <w:trPr/>
        <w:tc>
          <w:tcPr>
            <w:tcW w:w="10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was $119.2 million for the three months ended June 30, 2026, as compared to $96.0 million for the three months ended June 30, 2025. The increase in product revenue, net was driven by an increase in VYJUVEK sales as compared to the prior year, primarily due to launches in our Europe and Japan markets, partially offset by a reduction in United States VYJUVEK sales.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Cost of Goods Sold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was $6.4 million for the three months ended June 30, 2026, as compared to $7.2 million for the three months ended June 30, 2025. The decrease was driven by manufacturing process optimizations that resulted in lower average costs per unit partially offset by an increase in VYJUVEK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product candidate or program, and for unallocated expenses, by type, for the three months ended June 30, 2026 and 2025.</w:t>
      </w:r>
    </w:p>
    <w:tbl>
      <w:tblPr>
        <w:tblW w:w="8163" w:type="dxa"/>
        <w:jc w:val="left"/>
        <w:tblInd w:w="0" w:type="dxa"/>
        <w:tblLayout w:type="fixed"/>
        <w:tblCellMar>
          <w:top w:w="28" w:type="dxa"/>
          <w:left w:w="28" w:type="dxa"/>
          <w:bottom w:w="28" w:type="dxa"/>
          <w:right w:w="28" w:type="dxa"/>
        </w:tblCellMar>
      </w:tblPr>
      <w:tblGrid>
        <w:gridCol w:w="1091"/>
        <w:gridCol w:w="960"/>
        <w:gridCol w:w="963"/>
        <w:gridCol w:w="327"/>
        <w:gridCol w:w="956"/>
        <w:gridCol w:w="169"/>
        <w:gridCol w:w="169"/>
        <w:gridCol w:w="169"/>
        <w:gridCol w:w="169"/>
        <w:gridCol w:w="327"/>
        <w:gridCol w:w="344"/>
        <w:gridCol w:w="332"/>
        <w:gridCol w:w="109"/>
        <w:gridCol w:w="109"/>
        <w:gridCol w:w="109"/>
        <w:gridCol w:w="211"/>
        <w:gridCol w:w="269"/>
        <w:gridCol w:w="271"/>
        <w:gridCol w:w="109"/>
        <w:gridCol w:w="109"/>
        <w:gridCol w:w="109"/>
        <w:gridCol w:w="233"/>
        <w:gridCol w:w="233"/>
        <w:gridCol w:w="316"/>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9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B-VEC</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KB111</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KB304</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KB407</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KB408</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KB707</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KB801</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KB803</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candidates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unallocated expenses</w:t>
            </w:r>
            <w:r>
              <w:rPr>
                <w:rFonts w:ascii="Times New Roman;serif" w:hAnsi="Times New Roman;serif"/>
                <w:b w:val="false"/>
                <w:color w:val="000000"/>
                <w:sz w:val="13"/>
              </w:rPr>
              <w:t>(1)</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(1)Other unallocated expenses consist of shared pre-commercial manufacturing costs, primarily relating to certain raw materials, process development, quality control and quality assurance activities, as well as other manufacturing and facility related costs including rent, storage and depreciation which support the development of multiple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$0.1 million for the three months ended June 30, 2026 as compared to the three months ended June 30, 2025. The increase in research and development expenses was primarily attributable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increase of $0.8 million in clinical development costs, primarily due to increased costs for KB407, KB707, KB801, and KB803 partially offset by a decrease in KB304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$0.5 million in unallocated materials and other support costs for our product candidates.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decrease of $0.5 million in research and development payroll and manufacturing costs driven by the timing of production runs across our product candidates, mainly due to a decrease in B-VEC, KB111 and other unallocated expenses, partially offset by increases in KB707 and KB801;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$0.4 million in B-VEC pre-commercialization regulatory fees.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$4.8 million in the three months ended June 30, 2026 as compared to the three months ended June 30, 2025. The increase was primarily driven by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$2.5 million in payroll costs, including stock-based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other general and administrative costs primarily related to $0.6 million in travel and conferences and $0.3 million in subscriptions;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 million in selling expenses.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and Other Income,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net was $7.7 million and $7.4 million for the three months ended June 30, 2026 and 2025, respectively, and consisted of interest and dividend income earned from our cash, cash equivalents and investments as well as the effects of foreign exchange rates.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was $11.3 million and $8.4 million for the three months ended June 30, 2026 and June 30, 2025, respectively, which relates to state, federal and foreign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Six Months Ended June 30, 2026 and 2025</w:t>
      </w:r>
    </w:p>
    <w:tbl>
      <w:tblPr>
        <w:tblW w:w="7946" w:type="dxa"/>
        <w:jc w:val="left"/>
        <w:tblInd w:w="0" w:type="dxa"/>
        <w:tblLayout w:type="fixed"/>
        <w:tblCellMar>
          <w:top w:w="28" w:type="dxa"/>
          <w:left w:w="28" w:type="dxa"/>
          <w:bottom w:w="28" w:type="dxa"/>
          <w:right w:w="28" w:type="dxa"/>
        </w:tblCellMar>
      </w:tblPr>
      <w:tblGrid>
        <w:gridCol w:w="1070"/>
        <w:gridCol w:w="942"/>
        <w:gridCol w:w="94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10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Products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was $235.6 million for the six months ended June 30, 2026 as compared to $184.2 million for the six months ended June 30, 2025. The increase in product revenue, net was driven by an increase in VYJUVEK sales as compared to the prior period, primarily due to launches in our EU and Japan markets, partially offset by a reduction in United States VYJUVEK sales.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Cost of Goods Sold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was $12.8 million for the six months ended June 30, 2026 as compared to $12.2 million for the six months ended June 30, 2025, due to an increase in units sold partially offset by manufacturing process optimizations that resulted in lower average costs per unit of VYJUVEK.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product candidate or program, and for unallocated expenses, by type, for the six months ended June 30, 2026 and 2025:</w:t>
      </w:r>
    </w:p>
    <w:tbl>
      <w:tblPr>
        <w:tblW w:w="7733" w:type="dxa"/>
        <w:jc w:val="left"/>
        <w:tblInd w:w="0" w:type="dxa"/>
        <w:tblLayout w:type="fixed"/>
        <w:tblCellMar>
          <w:top w:w="28" w:type="dxa"/>
          <w:left w:w="28" w:type="dxa"/>
          <w:bottom w:w="28" w:type="dxa"/>
          <w:right w:w="28" w:type="dxa"/>
        </w:tblCellMar>
      </w:tblPr>
      <w:tblGrid>
        <w:gridCol w:w="1091"/>
        <w:gridCol w:w="960"/>
        <w:gridCol w:w="963"/>
        <w:gridCol w:w="228"/>
        <w:gridCol w:w="668"/>
        <w:gridCol w:w="118"/>
        <w:gridCol w:w="118"/>
        <w:gridCol w:w="118"/>
        <w:gridCol w:w="118"/>
        <w:gridCol w:w="228"/>
        <w:gridCol w:w="668"/>
        <w:gridCol w:w="118"/>
        <w:gridCol w:w="109"/>
        <w:gridCol w:w="109"/>
        <w:gridCol w:w="109"/>
        <w:gridCol w:w="211"/>
        <w:gridCol w:w="344"/>
        <w:gridCol w:w="346"/>
        <w:gridCol w:w="109"/>
        <w:gridCol w:w="109"/>
        <w:gridCol w:w="109"/>
        <w:gridCol w:w="233"/>
        <w:gridCol w:w="233"/>
        <w:gridCol w:w="316"/>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B-VEC</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KB111</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KB304</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KB407</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KB408</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KB707</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KB801</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KB803</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candidates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unallocated expenses</w:t>
            </w:r>
            <w:r>
              <w:rPr>
                <w:rFonts w:ascii="Times New Roman;serif" w:hAnsi="Times New Roman;serif"/>
                <w:b w:val="false"/>
                <w:color w:val="000000"/>
                <w:sz w:val="13"/>
              </w:rPr>
              <w:t>(1)</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(1)Other unallocated expenses consist of shared pre-commercial manufacturing costs, primarily relating to certain raw materials, process development, quality control and quality assurance activities, as well as other manufacturing and facility related costs including rent, storage and depreciation which support the development of multiple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$1.2 million in the six months ended June 30, 2026 as compared to the six months ended June 30, 2025. The increase in research and development expenses was primarily attributable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unallocated materials and other support costs for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net increase of $0.8 million in clinical development costs, primarily due to increased costs of KB707, KB801, and KB803 partially offset by a decrease in KB304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net increase of $0.5 million in research and development payroll and manufacturing costs driven by the timing of production runs across our product candidates, mainly due to an increase in KB111, KB407, KB707, KB801, and KB803 partially offset by a decrease in B-VEC, KB304, and KB408.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$0.8 million in B-VEC pre-commercialization regulatory fees;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decrease of $0.5 million in other unallocated costs primarily driven by facilities and equipment related expenses.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$13.1 million in the six months ended June 30, 2026 as compared to the six months ended June 30, 2025. The increase was primarily driven by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$6.3 million in payroll costs, including stock-based compensation;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$3.0 million in other general and administrative costs primarily related to $0.7 million in subscriptions, $1.1 million in travel and conferences and $0.6 million in other taxes;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$2.0 million related to professional services, including legal and consulting services;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$1.7 million in sales and marketing costs to support the commercial sales of VYJUVEK.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and Other Income,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net for the six months ended June 30, 2026 and 2025 was $15.4 million and $14.7 million, respectively, and consisted of interest and dividend income earned from our cash, cash equivalents and investments as well as the effects of foreign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$16.8 million and $16.3 million for the six months ended June 30, 2026 and June 30, 2025, respectively, which relates to state, federal and foreign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cash equivalents and short-term investments balance was approximately $845.6 million, and we had a retained earnings balance of $134.9 million. We believe that our cash, cash equivalents and short-term investments as of June 30, 2026 will be sufficient to allow us to fund our operations for at least 12 months from the filing date of this Quarterly Report on Form 10-Q.</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related to clinical trials can be unpredictable and, therefore, there can be no guarantee that we will have sufficient capital to fund the continued or planned pre-clinical and clinical studies for our product candidates or our operations. Further, we expect our future revenue to fluctuate from quarter to quarter for many reasons, including the uncertain timing and amount of any product sales. While we are in the process of building out our internal vector manufacturing capacity, some of our manufacturing activities will be contracted out to third parties. Additionally, we currently utilize third-party contract research organizations to carry out some of our clinical development activities. As we seek to obtain regulatory approval for our product candidates and prepare for product sales, marketing, commercial manufacturing, packaging, labeling and distribution, we expect to continue to incur significant manufacturing and commercialization expenses. Our funds may not be sufficient to enable us to conduct pivotal clinical trials for, seek marketing approval for or commercially launch our product candidates. Accordingly, to obtain marketing approval for and to commercialize these or any other product candidates, we may be required to obtain further funding through public or private equity offerings, debt financings, collaboration and licensing arrangements or other sources. Adequate additional financing may not be available to us on acceptable terms, if at all. Our failure to raise capital when needed could have a negative effect on our financial condition and our ability to pursue our business strategy.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Operating Capital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uses of capital are, and we expect will continue to be for the near future, compensation and related expenses, manufacturing costs for preclinical and clinical materials, regulatory expenses, third-party clinical trial research and development services, laboratory and related supplies, selling expenses, costs to manufacture our commercial product, legal expenses and general overhead costs. In order to complete the process of obtaining regulatory approval for any of our product candidates and to build the sales, manufacturing, marketing and distribution infrastructure that we believe will be necessary to commercialize our product candidates, if approved, we may require substantial additional funding.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based our projections of operating capital requirements on assumptions that may prove to be incorrect, and we may use all of our available capital resources sooner than we expect. Because of the numerous risks and uncertainties associated with research, development, manufacturing and commercialization of genetic medicines, we are unable to estimate the exact amount of our operating capital requirements. Our future funding requirements will depend on many factors,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needed to globally commercialize and market our lead product, VYJUVEK;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progress, timing and costs of clinical trials of our current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progress, timing and cost of manufacturing VYJUVEK and revenue received from commercial sale of VYJUVEK;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continued development and the filing of investigational new drug applications for current and future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initiation, scope, progress, timing, costs and results of drug discovery, laboratory testing, manufacturing, preclinical studies and clinical trials for any product candidates that we may pursue in the future, if 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maintaining our own commercial-scale CGMP manufacturing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outcome, timing and costs of seeking regulatory approvals;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associated with the manufacturing process development and evaluation of third-party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the costs of VYJUVEK and our product candidates, if approved, will be paid by health maintenance, managed care, pharmacy benefit and similar healthcare management organizations, or will be reimbursed by government authorities, private health coverage insurers and other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commercialization activities for our current and future product candidates if we receive marketing approval for such product candidates, including the costs and timing of establishing product sales, medical affairs, marketing, distribution and manufacturing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revenue received from commercial sale of our current and future product candidates, subject to receipt of marketing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terms and timing of any future collaborations, licensing, consulting or other arrangements that we may establish;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any payments we may be required to make, or that we may receive, in connection with the licensing, filing, prosecution, maintenance, defense and enforcement of any patents or other intellectual property rights, including milestone and royalty payments and patent prosecution fees that we are obligated to pay pursuant to our license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current license agreements remaining in effect and our achievement of milestones under those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establish and maintain collaborations and licenses on favorable terms, if at all;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need to obtain substantial additional funding in order to receive regulatory approval and to commercialize our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the six months ended June 30, 2026 and 2025:</w:t>
      </w:r>
    </w:p>
    <w:tbl>
      <w:tblPr>
        <w:tblW w:w="7753" w:type="dxa"/>
        <w:jc w:val="center"/>
        <w:tblInd w:w="0" w:type="dxa"/>
        <w:tblLayout w:type="fixed"/>
        <w:tblCellMar>
          <w:top w:w="28" w:type="dxa"/>
          <w:left w:w="28" w:type="dxa"/>
          <w:bottom w:w="28" w:type="dxa"/>
          <w:right w:w="28" w:type="dxa"/>
        </w:tblCellMar>
      </w:tblPr>
      <w:tblGrid>
        <w:gridCol w:w="1841"/>
        <w:gridCol w:w="1620"/>
        <w:gridCol w:w="1624"/>
        <w:gridCol w:w="211"/>
        <w:gridCol w:w="826"/>
        <w:gridCol w:w="109"/>
        <w:gridCol w:w="109"/>
        <w:gridCol w:w="109"/>
        <w:gridCol w:w="109"/>
        <w:gridCol w:w="211"/>
        <w:gridCol w:w="721"/>
        <w:gridCol w:w="109"/>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and 2025 was $155.2 million and $83.7 million, respectively. Increase in operating cash flows was driven by a $36.6 million increase in net income primarily due to increased revenue, partially offset by increased operating expenses and a $31.3 million impact of changes in accrued legal settlement due to the final payment of the PeriphaGen settlement in the first quarter of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and 2025 was $225.2 million and $65.3 million, respectively. The increase in cash used in investing activities was driven by increased purchases of investments of $166.4 million, partially offset by increased maturities of investments of $9.5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$4.6 million as compared to net cash used in financing activities of $10.7 million for the six months ended June 30, 2025. The increase in cash provided by financing activities was primarily driven by a $18.4 million increase in proceeds from the exercise of stock options, offset by a $5.0 million increase in taxes paid for employee tax withholding related to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cash, cash equivalents and short-term investments of $845.6 million as of June 30, 2026, which consisted primarily of money market funds, commercial paper, corporate bonds and U.S. government agency securities. The investments 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cash, cash equivalents and short-term investment securities available-for-sale in a variety of securities which may include money market funds, government and non-government debt securities and commercial paper, all with various maturity dates. Due to the conservative nature of our investment portfolio, an hypothetical change in market interest rates of 100 basis points would not have a material effect on the fair market value of our investments.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established operations in Europe and Japan and hold cash in Swiss Francs, Euros, Japanese Yen, and Great British Pounds. We are subject to foreign exchange rate risk arising from transactions conducted in the aforementioned foreign currencies. Future movements in foreign exchange rates are inherently uncertain, and significant fluctuations in exchange rates may positively or negatively affect our foreign currency exposures, which could materially impact our condensed consolidated results of operations and financial position.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hold or issue derivatives, derivative commodity instruments or other financial instruments for speculative trading purposes. Further, we do not believe our cash, cash equivalents and short-term investments have significant risk of default or illiquidity. While we believe our cash, cash equivalents and short-term investments do not contain excessive risk, we cannot provide absolute assurance that any investments we make in the future will not be subject to adverse changes in market value. Our cash, cash equivalents and short-term investments are recorded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and our Chief Accounting Officer, with the participation of other members of the Company’s management, have evaluated the effectiveness of the Company’s “disclosure controls and procedures” (as such term is defined in Rules 13a-15(e) and 15d-15(e) under the Securities Exchange Act of 1934, as amended (the “Exchange Act”)) as of the end of the period covered by this quarterly report, and our Chief Executive Officer and our Chief Accounting Officer have concluded that our disclosure controls and procedures are effective based on their evaluation of these controls and procedures as required by paragraph (b) of Exchange Act Rules 13a-15 or 15d-15.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regarding legal proceedings, please refer to Note 7 of the notes to the consolidated financial statements in the 2025 10-K and Note 7 of the notes to the condensed consolidated financial statements in this Quarterly Report on Form 10-Q for additional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have faced, and we may in the future face, various claims brought by third parties or government regulators and, from time to time, make claims or take legal actions to assert our rights, including claims relating to our directors, officers, stockholders, intellectual property rights, employment matters and the safety or efficacy of our products. Any of these claims have subjected and could in the future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Company’s business, reputation, results of operations, financial condition, and stock price can be materially and adversely affected by a number of factors, whether currently known or unknown, including those described in Part I, Item 1A of the 2025 10-K under the heading “Risk Factors.” There have been no material changes to the Company’s risk factors since the 2025 10-K was filed with the SEC on February 17, 2026. For information regarding legal proceedings relating to risks previously described, see Note 7 of the notes to the condensed consolidated financial statements in this Quarterly Report on Form10-Q.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that term is defined by the SEC in Rule 16a-1(f) under the Exchange Act) adopted or terminated a “Rule 10b5-1 trading arrangement” or a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682"/>
        <w:gridCol w:w="2682"/>
        <w:gridCol w:w="38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krysex311.htm">
              <w:r>
                <w:rPr>
                  <w:rStyle w:val="InternetLink"/>
                  <w:rFonts w:ascii="Times New Roman;serif" w:hAnsi="Times New Roman;serif"/>
                  <w:b w:val="false"/>
                  <w:color w:val="0000FF"/>
                  <w:sz w:val="20"/>
                  <w:u w:val="single"/>
                </w:rPr>
                <w:t>Certification of Periodic Report by Chief Executive Officer under Section 302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krysex312.htm">
              <w:r>
                <w:rPr>
                  <w:rStyle w:val="InternetLink"/>
                  <w:rFonts w:ascii="Times New Roman;serif" w:hAnsi="Times New Roman;serif"/>
                  <w:b w:val="false"/>
                  <w:color w:val="0000FF"/>
                  <w:sz w:val="20"/>
                  <w:u w:val="single"/>
                </w:rPr>
                <w:t>Certification of Periodic Report by Chief Accounting Officer under Section 302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krysex321.htm">
              <w:r>
                <w:rPr>
                  <w:rStyle w:val="InternetLink"/>
                  <w:rFonts w:ascii="Times New Roman;serif" w:hAnsi="Times New Roman;serif"/>
                  <w:b w:val="false"/>
                  <w:color w:val="0000FF"/>
                  <w:sz w:val="20"/>
                  <w:u w:val="single"/>
                </w:rPr>
                <w:t>Certification of Chief Executive Officer and Chief Accounting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(Extensible Business Reporting Language). The following materials from this Quarterly Report on Form 10-Q for the period ended June 30, 2026, are formatted in Inline XBRL: (i) consolidated balance sheets of Krystal Biotech, Inc., (ii) consolidated statements of operations of Krystal Biotech, Inc., (iii) consolidated statements of operations and comprehensive income of Krystal Biotech, Inc., (iv) consolidated statements of changes in equity of Krystal Biotech, Inc., (v) consolidated statements of cash flows of Krystal Biotech, Inc. and (vi) notes to condensed consolidated financial statements of Krystal Biotech, Inc. The instance document does not appear in the interactive data file because its XBRL tags are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 the cover page XBRL tags are embedded within the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83"/>
        <w:ind w:left="0" w:right="0" w:firstLine="63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46"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09"/>
        <w:gridCol w:w="109"/>
        <w:gridCol w:w="109"/>
        <w:gridCol w:w="1065"/>
        <w:gridCol w:w="1065"/>
        <w:gridCol w:w="151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KRYSTAL BIOTECH,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Krish S. Krishnan</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Krish S. Krishnan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A. Romano</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A. Romano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240" w:after="283"/>
        <w:ind w:left="0" w:right="0" w:firstLine="63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Krish S. Krishnan,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Krystal Biotech,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05"/>
        <w:gridCol w:w="605"/>
        <w:gridCol w:w="8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Krish S. Krishnan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Krish S. Krishnan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Kathryn A. Romano,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Krystal Biotech,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5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45"/>
        <w:gridCol w:w="645"/>
        <w:gridCol w:w="91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A. Romano</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A. Romano</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ACCOUNTING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Krish S. Krishnan, Chief Executive Officer,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three months ended June 30, 2026, (the “ Periodic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Krystal Biotech, Inc.</w:t>
      </w:r>
    </w:p>
    <w:tbl>
      <w:tblPr>
        <w:tblW w:w="4645"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605"/>
        <w:gridCol w:w="605"/>
        <w:gridCol w:w="8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Krish S. Krishnan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Krish S. Krishnan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Kathryn A. Romano, Chief Accounting Officer,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three months ended June 30, 2026, (the “ Periodic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Krystal Biotech, Inc.</w:t>
      </w:r>
    </w:p>
    <w:tbl>
      <w:tblPr>
        <w:tblW w:w="4780"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645"/>
        <w:gridCol w:w="645"/>
        <w:gridCol w:w="91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A. Romano</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A. Romano</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16003</Words>
  <Characters>89999</Characters>
  <CharactersWithSpaces>104918</CharactersWithSpaces>
  <Paragraphs>2225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