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54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213995</wp:posOffset>
            </wp:positionH>
            <wp:positionV relativeFrom="page">
              <wp:posOffset>626745</wp:posOffset>
            </wp:positionV>
            <wp:extent cx="7120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0890" cy="8255"/>
                    </a:xfrm>
                    <a:prstGeom prst="rect">
                      <a:avLst/>
                    </a:prstGeom>
                    <a:noFill/>
                  </pic:spPr>
                </pic:pic>
              </a:graphicData>
            </a:graphic>
          </wp:anchor>
        </w:drawing>
        <w:drawing>
          <wp:anchor simplePos="0" relativeHeight="251657728" behindDoc="1" locked="0" layoutInCell="0" allowOverlap="1">
            <wp:simplePos x="0" y="0"/>
            <wp:positionH relativeFrom="page">
              <wp:posOffset>213995</wp:posOffset>
            </wp:positionH>
            <wp:positionV relativeFrom="page">
              <wp:posOffset>593090</wp:posOffset>
            </wp:positionV>
            <wp:extent cx="7120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0890" cy="8255"/>
                    </a:xfrm>
                    <a:prstGeom prst="rect">
                      <a:avLst/>
                    </a:prstGeom>
                    <a:noFill/>
                  </pic:spPr>
                </pic:pic>
              </a:graphicData>
            </a:graphic>
          </wp:anchor>
        </w:drawing>
        <w:t>UNITED STATES</w:t>
      </w:r>
    </w:p>
    <w:p>
      <w:pPr>
        <w:spacing w:after="0" w:line="46"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0"/>
          <w:szCs w:val="10"/>
          <w:u w:val="single" w:color="auto"/>
          <w:color w:val="auto"/>
        </w:rPr>
        <w:t>_____________________________________________________</w:t>
      </w:r>
    </w:p>
    <w:p>
      <w:pPr>
        <w:spacing w:after="0" w:line="72"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4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0"/>
          <w:szCs w:val="10"/>
          <w:u w:val="single" w:color="auto"/>
          <w:color w:val="auto"/>
        </w:rPr>
        <w:t>_____________________________________________________</w:t>
      </w:r>
    </w:p>
    <w:p>
      <w:pPr>
        <w:spacing w:after="0" w:line="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5" w:lineRule="exact"/>
        <w:rPr>
          <w:sz w:val="24"/>
          <w:szCs w:val="24"/>
          <w:color w:val="auto"/>
        </w:rPr>
      </w:pPr>
    </w:p>
    <w:p>
      <w:pPr>
        <w:ind w:left="660" w:hanging="639"/>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91"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2025</w:t>
      </w:r>
    </w:p>
    <w:p>
      <w:pPr>
        <w:spacing w:after="0" w:line="33"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3" w:lineRule="exact"/>
        <w:rPr>
          <w:sz w:val="24"/>
          <w:szCs w:val="24"/>
          <w:color w:val="auto"/>
        </w:rPr>
      </w:pPr>
    </w:p>
    <w:p>
      <w:pPr>
        <w:ind w:left="660" w:hanging="639"/>
        <w:spacing w:after="0"/>
        <w:tabs>
          <w:tab w:leader="none" w:pos="6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52" w:lineRule="exact"/>
        <w:rPr>
          <w:sz w:val="24"/>
          <w:szCs w:val="24"/>
          <w:color w:val="auto"/>
        </w:rPr>
      </w:pPr>
    </w:p>
    <w:p>
      <w:pPr>
        <w:ind w:left="4340"/>
        <w:spacing w:after="0"/>
        <w:tabs>
          <w:tab w:leader="none" w:pos="66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3891915</wp:posOffset>
            </wp:positionH>
            <wp:positionV relativeFrom="paragraph">
              <wp:posOffset>-3175</wp:posOffset>
            </wp:positionV>
            <wp:extent cx="8445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4550" cy="8255"/>
                    </a:xfrm>
                    <a:prstGeom prst="rect">
                      <a:avLst/>
                    </a:prstGeom>
                    <a:noFill/>
                  </pic:spPr>
                </pic:pic>
              </a:graphicData>
            </a:graphic>
          </wp:anchor>
        </w:drawing>
      </w:r>
    </w:p>
    <w:p>
      <w:pPr>
        <w:spacing w:after="0" w:line="40" w:lineRule="exact"/>
        <w:rPr>
          <w:sz w:val="24"/>
          <w:szCs w:val="24"/>
          <w:color w:val="auto"/>
        </w:rPr>
      </w:pPr>
    </w:p>
    <w:tbl>
      <w:tblPr>
        <w:tblLayout w:type="fixed"/>
        <w:tblInd w:w="2440" w:type="dxa"/>
        <w:tblCellMar>
          <w:top w:w="0" w:type="dxa"/>
          <w:left w:w="0" w:type="dxa"/>
          <w:bottom w:w="0" w:type="dxa"/>
          <w:right w:w="0" w:type="dxa"/>
        </w:tblCellMar>
      </w:tblPr>
      <w:tr>
        <w:trPr>
          <w:trHeight w:val="167"/>
        </w:trPr>
        <w:tc>
          <w:tcPr>
            <w:tcW w:w="1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140" w:type="dxa"/>
            <w:vAlign w:val="bottom"/>
            <w:gridSpan w:val="2"/>
          </w:tcPr>
          <w:p>
            <w:pPr>
              <w:jc w:val="center"/>
              <w:ind w:right="2336"/>
              <w:spacing w:after="0"/>
              <w:rPr>
                <w:sz w:val="20"/>
                <w:szCs w:val="20"/>
                <w:color w:val="auto"/>
              </w:rPr>
            </w:pPr>
            <w:r>
              <w:rPr>
                <w:rFonts w:ascii="Times New Roman" w:cs="Times New Roman" w:eastAsia="Times New Roman" w:hAnsi="Times New Roman"/>
                <w:sz w:val="14"/>
                <w:szCs w:val="14"/>
                <w:b w:val="1"/>
                <w:bCs w:val="1"/>
                <w:color w:val="auto"/>
                <w:w w:val="99"/>
              </w:rPr>
              <w:t>Commission file number: 001-38210</w:t>
            </w:r>
          </w:p>
        </w:tc>
      </w:tr>
      <w:tr>
        <w:trPr>
          <w:trHeight w:val="118"/>
        </w:trPr>
        <w:tc>
          <w:tcPr>
            <w:tcW w:w="1680" w:type="dxa"/>
            <w:vAlign w:val="bottom"/>
          </w:tcPr>
          <w:p>
            <w:pPr>
              <w:spacing w:after="0"/>
              <w:rPr>
                <w:sz w:val="10"/>
                <w:szCs w:val="10"/>
                <w:color w:val="auto"/>
              </w:rPr>
            </w:pPr>
          </w:p>
        </w:tc>
        <w:tc>
          <w:tcPr>
            <w:tcW w:w="3160" w:type="dxa"/>
            <w:vAlign w:val="bottom"/>
            <w:gridSpan w:val="2"/>
          </w:tcPr>
          <w:p>
            <w:pPr>
              <w:jc w:val="center"/>
              <w:ind w:left="318"/>
              <w:spacing w:after="0"/>
              <w:rPr>
                <w:sz w:val="20"/>
                <w:szCs w:val="20"/>
                <w:color w:val="auto"/>
              </w:rPr>
            </w:pPr>
            <w:r>
              <w:rPr>
                <w:rFonts w:ascii="Times New Roman" w:cs="Times New Roman" w:eastAsia="Times New Roman" w:hAnsi="Times New Roman"/>
                <w:sz w:val="10"/>
                <w:szCs w:val="10"/>
                <w:color w:val="auto"/>
              </w:rPr>
              <w:t>_____________________________________________________</w:t>
            </w:r>
          </w:p>
        </w:tc>
        <w:tc>
          <w:tcPr>
            <w:tcW w:w="2380" w:type="dxa"/>
            <w:vAlign w:val="bottom"/>
          </w:tcPr>
          <w:p>
            <w:pPr>
              <w:spacing w:after="0"/>
              <w:rPr>
                <w:sz w:val="10"/>
                <w:szCs w:val="10"/>
                <w:color w:val="auto"/>
              </w:rPr>
            </w:pPr>
          </w:p>
        </w:tc>
      </w:tr>
      <w:tr>
        <w:trPr>
          <w:trHeight w:val="20"/>
        </w:trPr>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89"/>
        </w:trPr>
        <w:tc>
          <w:tcPr>
            <w:tcW w:w="1680" w:type="dxa"/>
            <w:vAlign w:val="bottom"/>
          </w:tcPr>
          <w:p>
            <w:pPr>
              <w:spacing w:after="0"/>
              <w:rPr>
                <w:sz w:val="24"/>
                <w:szCs w:val="24"/>
                <w:color w:val="auto"/>
              </w:rPr>
            </w:pPr>
          </w:p>
        </w:tc>
        <w:tc>
          <w:tcPr>
            <w:tcW w:w="5540" w:type="dxa"/>
            <w:vAlign w:val="bottom"/>
            <w:gridSpan w:val="3"/>
          </w:tcPr>
          <w:p>
            <w:pPr>
              <w:jc w:val="center"/>
              <w:ind w:right="1916"/>
              <w:spacing w:after="0"/>
              <w:rPr>
                <w:sz w:val="20"/>
                <w:szCs w:val="20"/>
                <w:color w:val="auto"/>
              </w:rPr>
            </w:pPr>
            <w:r>
              <w:rPr>
                <w:rFonts w:ascii="Times New Roman" w:cs="Times New Roman" w:eastAsia="Times New Roman" w:hAnsi="Times New Roman"/>
                <w:sz w:val="38"/>
                <w:szCs w:val="38"/>
                <w:b w:val="1"/>
                <w:bCs w:val="1"/>
                <w:color w:val="auto"/>
              </w:rPr>
              <w:t>Krystal Biotech, Inc.</w:t>
            </w:r>
          </w:p>
        </w:tc>
      </w:tr>
      <w:tr>
        <w:trPr>
          <w:trHeight w:val="180"/>
        </w:trPr>
        <w:tc>
          <w:tcPr>
            <w:tcW w:w="1680" w:type="dxa"/>
            <w:vAlign w:val="bottom"/>
          </w:tcPr>
          <w:p>
            <w:pPr>
              <w:spacing w:after="0"/>
              <w:rPr>
                <w:sz w:val="15"/>
                <w:szCs w:val="15"/>
                <w:color w:val="auto"/>
              </w:rPr>
            </w:pPr>
          </w:p>
        </w:tc>
        <w:tc>
          <w:tcPr>
            <w:tcW w:w="5540" w:type="dxa"/>
            <w:vAlign w:val="bottom"/>
            <w:gridSpan w:val="3"/>
          </w:tcPr>
          <w:p>
            <w:pPr>
              <w:jc w:val="center"/>
              <w:ind w:right="1916"/>
              <w:spacing w:after="0"/>
              <w:rPr>
                <w:sz w:val="20"/>
                <w:szCs w:val="20"/>
                <w:color w:val="auto"/>
              </w:rPr>
            </w:pPr>
            <w:r>
              <w:rPr>
                <w:rFonts w:ascii="Times New Roman" w:cs="Times New Roman" w:eastAsia="Times New Roman" w:hAnsi="Times New Roman"/>
                <w:sz w:val="14"/>
                <w:szCs w:val="14"/>
                <w:b w:val="1"/>
                <w:bCs w:val="1"/>
                <w:color w:val="auto"/>
                <w:w w:val="99"/>
              </w:rPr>
              <w:t>(Exact name of registrant as specified in its charter)</w:t>
            </w:r>
          </w:p>
        </w:tc>
      </w:tr>
      <w:tr>
        <w:trPr>
          <w:trHeight w:val="118"/>
        </w:trPr>
        <w:tc>
          <w:tcPr>
            <w:tcW w:w="1680" w:type="dxa"/>
            <w:vAlign w:val="bottom"/>
          </w:tcPr>
          <w:p>
            <w:pPr>
              <w:spacing w:after="0"/>
              <w:rPr>
                <w:sz w:val="10"/>
                <w:szCs w:val="10"/>
                <w:color w:val="auto"/>
              </w:rPr>
            </w:pPr>
          </w:p>
        </w:tc>
        <w:tc>
          <w:tcPr>
            <w:tcW w:w="3160" w:type="dxa"/>
            <w:vAlign w:val="bottom"/>
            <w:gridSpan w:val="2"/>
          </w:tcPr>
          <w:p>
            <w:pPr>
              <w:jc w:val="center"/>
              <w:ind w:left="318"/>
              <w:spacing w:after="0"/>
              <w:rPr>
                <w:sz w:val="20"/>
                <w:szCs w:val="20"/>
                <w:color w:val="auto"/>
              </w:rPr>
            </w:pPr>
            <w:r>
              <w:rPr>
                <w:rFonts w:ascii="Times New Roman" w:cs="Times New Roman" w:eastAsia="Times New Roman" w:hAnsi="Times New Roman"/>
                <w:sz w:val="10"/>
                <w:szCs w:val="10"/>
                <w:color w:val="auto"/>
              </w:rPr>
              <w:t>_____________________________________________________</w:t>
            </w:r>
          </w:p>
        </w:tc>
        <w:tc>
          <w:tcPr>
            <w:tcW w:w="2380" w:type="dxa"/>
            <w:vAlign w:val="bottom"/>
          </w:tcPr>
          <w:p>
            <w:pPr>
              <w:spacing w:after="0"/>
              <w:rPr>
                <w:sz w:val="10"/>
                <w:szCs w:val="10"/>
                <w:color w:val="auto"/>
              </w:rPr>
            </w:pPr>
          </w:p>
        </w:tc>
      </w:tr>
      <w:tr>
        <w:trPr>
          <w:trHeight w:val="517"/>
        </w:trPr>
        <w:tc>
          <w:tcPr>
            <w:tcW w:w="16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00" w:type="dxa"/>
            <w:vAlign w:val="bottom"/>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2380" w:type="dxa"/>
            <w:vAlign w:val="bottom"/>
          </w:tcPr>
          <w:p>
            <w:pPr>
              <w:jc w:val="center"/>
              <w:ind w:left="1096"/>
              <w:spacing w:after="0"/>
              <w:rPr>
                <w:sz w:val="20"/>
                <w:szCs w:val="20"/>
                <w:color w:val="auto"/>
              </w:rPr>
            </w:pPr>
            <w:r>
              <w:rPr>
                <w:rFonts w:ascii="Times New Roman" w:cs="Times New Roman" w:eastAsia="Times New Roman" w:hAnsi="Times New Roman"/>
                <w:sz w:val="14"/>
                <w:szCs w:val="14"/>
                <w:b w:val="1"/>
                <w:bCs w:val="1"/>
                <w:color w:val="auto"/>
                <w:w w:val="97"/>
              </w:rPr>
              <w:t>82-1080209</w:t>
            </w:r>
          </w:p>
        </w:tc>
      </w:tr>
      <w:tr>
        <w:trPr>
          <w:trHeight w:val="140"/>
        </w:trPr>
        <w:tc>
          <w:tcPr>
            <w:tcW w:w="1680" w:type="dxa"/>
            <w:vAlign w:val="bottom"/>
          </w:tcPr>
          <w:p>
            <w:pPr>
              <w:jc w:val="center"/>
              <w:ind w:right="16"/>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4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380" w:type="dxa"/>
            <w:vAlign w:val="bottom"/>
          </w:tcPr>
          <w:p>
            <w:pPr>
              <w:jc w:val="center"/>
              <w:ind w:left="1096"/>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60"/>
        </w:trPr>
        <w:tc>
          <w:tcPr>
            <w:tcW w:w="1680" w:type="dxa"/>
            <w:vAlign w:val="bottom"/>
          </w:tcPr>
          <w:p>
            <w:pPr>
              <w:jc w:val="center"/>
              <w:ind w:right="16"/>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4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380" w:type="dxa"/>
            <w:vAlign w:val="bottom"/>
          </w:tcPr>
          <w:p>
            <w:pPr>
              <w:jc w:val="center"/>
              <w:ind w:left="1096"/>
              <w:spacing w:after="0"/>
              <w:rPr>
                <w:sz w:val="20"/>
                <w:szCs w:val="20"/>
                <w:color w:val="auto"/>
              </w:rPr>
            </w:pPr>
            <w:r>
              <w:rPr>
                <w:rFonts w:ascii="Times New Roman" w:cs="Times New Roman" w:eastAsia="Times New Roman" w:hAnsi="Times New Roman"/>
                <w:sz w:val="12"/>
                <w:szCs w:val="12"/>
                <w:b w:val="1"/>
                <w:bCs w:val="1"/>
                <w:color w:val="auto"/>
              </w:rPr>
              <w:t>Identification Number)</w:t>
            </w:r>
          </w:p>
        </w:tc>
      </w:tr>
      <w:tr>
        <w:trPr>
          <w:trHeight w:val="362"/>
        </w:trPr>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40" w:type="dxa"/>
            <w:vAlign w:val="bottom"/>
            <w:gridSpan w:val="2"/>
          </w:tcPr>
          <w:p>
            <w:pPr>
              <w:jc w:val="center"/>
              <w:ind w:right="2316"/>
              <w:spacing w:after="0"/>
              <w:rPr>
                <w:sz w:val="20"/>
                <w:szCs w:val="20"/>
                <w:color w:val="auto"/>
              </w:rPr>
            </w:pPr>
            <w:r>
              <w:rPr>
                <w:rFonts w:ascii="Times New Roman" w:cs="Times New Roman" w:eastAsia="Times New Roman" w:hAnsi="Times New Roman"/>
                <w:sz w:val="14"/>
                <w:szCs w:val="14"/>
                <w:b w:val="1"/>
                <w:bCs w:val="1"/>
                <w:color w:val="auto"/>
                <w:w w:val="98"/>
              </w:rPr>
              <w:t>2100 Wharton Street, Suite 701</w:t>
            </w:r>
          </w:p>
        </w:tc>
      </w:tr>
      <w:tr>
        <w:trPr>
          <w:trHeight w:val="156"/>
        </w:trPr>
        <w:tc>
          <w:tcPr>
            <w:tcW w:w="1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40" w:type="dxa"/>
            <w:vAlign w:val="bottom"/>
            <w:gridSpan w:val="2"/>
          </w:tcPr>
          <w:p>
            <w:pPr>
              <w:jc w:val="center"/>
              <w:ind w:right="2316"/>
              <w:spacing w:after="0" w:line="156" w:lineRule="exact"/>
              <w:rPr>
                <w:sz w:val="20"/>
                <w:szCs w:val="20"/>
                <w:color w:val="auto"/>
              </w:rPr>
            </w:pPr>
            <w:r>
              <w:rPr>
                <w:rFonts w:ascii="Times New Roman" w:cs="Times New Roman" w:eastAsia="Times New Roman" w:hAnsi="Times New Roman"/>
                <w:sz w:val="14"/>
                <w:szCs w:val="14"/>
                <w:b w:val="1"/>
                <w:bCs w:val="1"/>
                <w:color w:val="auto"/>
                <w:w w:val="99"/>
              </w:rPr>
              <w:t>Pittsburgh, Pennsylvania 15203</w:t>
            </w:r>
          </w:p>
        </w:tc>
      </w:tr>
      <w:tr>
        <w:trPr>
          <w:trHeight w:val="184"/>
        </w:trPr>
        <w:tc>
          <w:tcPr>
            <w:tcW w:w="1680" w:type="dxa"/>
            <w:vAlign w:val="bottom"/>
          </w:tcPr>
          <w:p>
            <w:pPr>
              <w:spacing w:after="0"/>
              <w:rPr>
                <w:sz w:val="15"/>
                <w:szCs w:val="15"/>
                <w:color w:val="auto"/>
              </w:rPr>
            </w:pPr>
          </w:p>
        </w:tc>
        <w:tc>
          <w:tcPr>
            <w:tcW w:w="5540" w:type="dxa"/>
            <w:vAlign w:val="bottom"/>
            <w:gridSpan w:val="3"/>
          </w:tcPr>
          <w:p>
            <w:pPr>
              <w:jc w:val="center"/>
              <w:ind w:right="1916"/>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 and zip code)</w:t>
            </w:r>
          </w:p>
        </w:tc>
      </w:tr>
      <w:tr>
        <w:trPr>
          <w:trHeight w:val="259"/>
        </w:trPr>
        <w:tc>
          <w:tcPr>
            <w:tcW w:w="1680" w:type="dxa"/>
            <w:vAlign w:val="bottom"/>
          </w:tcPr>
          <w:p>
            <w:pPr>
              <w:spacing w:after="0"/>
              <w:rPr>
                <w:sz w:val="22"/>
                <w:szCs w:val="22"/>
                <w:color w:val="auto"/>
              </w:rPr>
            </w:pPr>
          </w:p>
        </w:tc>
        <w:tc>
          <w:tcPr>
            <w:tcW w:w="3160" w:type="dxa"/>
            <w:vAlign w:val="bottom"/>
            <w:gridSpan w:val="2"/>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(412) 586-5830</w:t>
            </w:r>
          </w:p>
        </w:tc>
        <w:tc>
          <w:tcPr>
            <w:tcW w:w="2380" w:type="dxa"/>
            <w:vAlign w:val="bottom"/>
          </w:tcPr>
          <w:p>
            <w:pPr>
              <w:spacing w:after="0"/>
              <w:rPr>
                <w:sz w:val="22"/>
                <w:szCs w:val="22"/>
                <w:color w:val="auto"/>
              </w:rPr>
            </w:pPr>
          </w:p>
        </w:tc>
      </w:tr>
      <w:tr>
        <w:trPr>
          <w:trHeight w:val="184"/>
        </w:trPr>
        <w:tc>
          <w:tcPr>
            <w:tcW w:w="1680" w:type="dxa"/>
            <w:vAlign w:val="bottom"/>
          </w:tcPr>
          <w:p>
            <w:pPr>
              <w:spacing w:after="0"/>
              <w:rPr>
                <w:sz w:val="15"/>
                <w:szCs w:val="15"/>
                <w:color w:val="auto"/>
              </w:rPr>
            </w:pPr>
          </w:p>
        </w:tc>
        <w:tc>
          <w:tcPr>
            <w:tcW w:w="5540" w:type="dxa"/>
            <w:vAlign w:val="bottom"/>
            <w:gridSpan w:val="3"/>
          </w:tcPr>
          <w:p>
            <w:pPr>
              <w:jc w:val="center"/>
              <w:ind w:right="1916"/>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w:t>
            </w:r>
          </w:p>
        </w:tc>
      </w:tr>
    </w:tbl>
    <w:p>
      <w:pPr>
        <w:spacing w:after="0" w:line="90"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3"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0"/>
          <w:szCs w:val="10"/>
          <w:u w:val="single" w:color="auto"/>
          <w:color w:val="auto"/>
        </w:rPr>
        <w:t>_____________________________________________________</w:t>
      </w:r>
    </w:p>
    <w:p>
      <w:pPr>
        <w:spacing w:after="0" w:line="163"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15" w:lineRule="exact"/>
        <w:rPr>
          <w:sz w:val="24"/>
          <w:szCs w:val="24"/>
          <w:color w:val="auto"/>
        </w:rPr>
      </w:pPr>
    </w:p>
    <w:tbl>
      <w:tblPr>
        <w:tblLayout w:type="fixed"/>
        <w:tblInd w:w="30" w:type="dxa"/>
        <w:tblCellMar>
          <w:top w:w="0" w:type="dxa"/>
          <w:left w:w="0" w:type="dxa"/>
          <w:bottom w:w="0" w:type="dxa"/>
          <w:right w:w="0" w:type="dxa"/>
        </w:tblCellMar>
      </w:tblPr>
      <w:tr>
        <w:trPr>
          <w:trHeight w:val="145"/>
        </w:trPr>
        <w:tc>
          <w:tcPr>
            <w:tcW w:w="5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260" w:type="dxa"/>
            <w:vAlign w:val="bottom"/>
            <w:tcBorders>
              <w:top w:val="single" w:sz="8" w:color="auto"/>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3"/>
              </w:rPr>
              <w:t>Trading</w:t>
            </w:r>
          </w:p>
        </w:tc>
        <w:tc>
          <w:tcPr>
            <w:tcW w:w="49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189"/>
        </w:trPr>
        <w:tc>
          <w:tcPr>
            <w:tcW w:w="50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Symbol(s)</w:t>
            </w:r>
          </w:p>
        </w:tc>
        <w:tc>
          <w:tcPr>
            <w:tcW w:w="49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KRYS</w:t>
            </w:r>
          </w:p>
        </w:tc>
        <w:tc>
          <w:tcPr>
            <w:tcW w:w="4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Nasdaq Global Select Market</w:t>
            </w:r>
          </w:p>
        </w:tc>
        <w:tc>
          <w:tcPr>
            <w:tcW w:w="0" w:type="dxa"/>
            <w:vAlign w:val="bottom"/>
          </w:tcPr>
          <w:p>
            <w:pPr>
              <w:spacing w:after="0"/>
              <w:rPr>
                <w:sz w:val="1"/>
                <w:szCs w:val="1"/>
                <w:color w:val="auto"/>
              </w:rPr>
            </w:pPr>
          </w:p>
        </w:tc>
      </w:tr>
    </w:tbl>
    <w:p>
      <w:pPr>
        <w:spacing w:after="0" w:line="173" w:lineRule="exact"/>
        <w:rPr>
          <w:sz w:val="24"/>
          <w:szCs w:val="24"/>
          <w:color w:val="auto"/>
        </w:rPr>
      </w:pPr>
    </w:p>
    <w:p>
      <w:pPr>
        <w:ind w:right="180" w:firstLine="625"/>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ind w:right="320" w:firstLine="625"/>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ind w:right="300" w:firstLine="625"/>
        <w:spacing w:after="0" w:line="28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41" w:right="339" w:bottom="1440" w:gutter="0" w:footer="0" w:header="0"/>
        </w:sectPr>
      </w:pPr>
    </w:p>
    <w:p>
      <w:pPr>
        <w:spacing w:after="0" w:line="175" w:lineRule="exact"/>
        <w:rPr>
          <w:sz w:val="24"/>
          <w:szCs w:val="24"/>
          <w:color w:val="auto"/>
        </w:rPr>
      </w:pPr>
    </w:p>
    <w:p>
      <w:pPr>
        <w:ind w:left="40"/>
        <w:spacing w:after="0" w:line="161" w:lineRule="exact"/>
        <w:tabs>
          <w:tab w:leader="none" w:pos="2840" w:val="left"/>
          <w:tab w:leader="none" w:pos="78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Accelerated filer</w:t>
      </w:r>
    </w:p>
    <w:p>
      <w:pPr>
        <w:spacing w:after="0" w:line="68" w:lineRule="exact"/>
        <w:rPr>
          <w:sz w:val="24"/>
          <w:szCs w:val="24"/>
          <w:color w:val="auto"/>
        </w:rPr>
      </w:pPr>
    </w:p>
    <w:p>
      <w:pPr>
        <w:ind w:left="40"/>
        <w:spacing w:after="0" w:line="161" w:lineRule="exact"/>
        <w:tabs>
          <w:tab w:leader="none" w:pos="2840" w:val="left"/>
          <w:tab w:leader="none" w:pos="784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Smaller reporting company</w:t>
      </w:r>
    </w:p>
    <w:p>
      <w:pPr>
        <w:spacing w:after="0" w:line="52" w:lineRule="exact"/>
        <w:rPr>
          <w:sz w:val="24"/>
          <w:szCs w:val="24"/>
          <w:color w:val="auto"/>
        </w:rPr>
      </w:pPr>
    </w:p>
    <w:p>
      <w:pPr>
        <w:ind w:left="60"/>
        <w:spacing w:after="0" w:line="161" w:lineRule="exact"/>
        <w:tabs>
          <w:tab w:leader="none" w:pos="172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44" w:lineRule="exact"/>
        <w:rPr>
          <w:sz w:val="24"/>
          <w:szCs w:val="24"/>
          <w:color w:val="auto"/>
        </w:rPr>
      </w:pPr>
    </w:p>
    <w:p>
      <w:pPr>
        <w:ind w:firstLine="625"/>
        <w:spacing w:after="0" w:line="214" w:lineRule="exact"/>
        <w:rPr>
          <w:sz w:val="20"/>
          <w:szCs w:val="20"/>
          <w:color w:val="auto"/>
        </w:rPr>
      </w:pPr>
      <w:r>
        <w:rPr>
          <w:rFonts w:ascii="Times New Roman" w:cs="Times New Roman" w:eastAsia="Times New Roman" w:hAnsi="Times New Roman"/>
          <w:sz w:val="14"/>
          <w:szCs w:val="14"/>
          <w:color w:val="auto"/>
        </w:rPr>
        <w:t xml:space="preserve">If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56" w:lineRule="exact"/>
        <w:rPr>
          <w:sz w:val="24"/>
          <w:szCs w:val="24"/>
          <w:color w:val="auto"/>
        </w:rPr>
      </w:pPr>
    </w:p>
    <w:p>
      <w:pPr>
        <w:sectPr>
          <w:pgSz w:w="11900" w:h="16838" w:orient="portrait"/>
          <w:cols w:equalWidth="0" w:num="2">
            <w:col w:w="10740" w:space="80"/>
            <w:col w:w="420"/>
          </w:cols>
          <w:pgMar w:left="320" w:top="1041" w:right="339" w:bottom="1440" w:gutter="0" w:footer="0" w:header="0"/>
          <w:type w:val="continuous"/>
        </w:sectPr>
      </w:pPr>
    </w:p>
    <w:p>
      <w:pPr>
        <w:ind w:left="620" w:right="3540"/>
        <w:spacing w:after="0" w:line="24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October 29, 2025, there were 28,997,519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531495</wp:posOffset>
            </wp:positionV>
            <wp:extent cx="716280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114300</wp:posOffset>
            </wp:positionV>
            <wp:extent cx="7120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0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81280</wp:posOffset>
            </wp:positionV>
            <wp:extent cx="7120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0890" cy="825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Krystal Biotech,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Page No.</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7"/>
                <w:szCs w:val="17"/>
                <w:color w:val="auto"/>
              </w:rPr>
              <w:t>PART I. FINANCIAL INFORMATION</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Item 1.</w:t>
            </w:r>
          </w:p>
        </w:tc>
        <w:tc>
          <w:tcPr>
            <w:tcW w:w="144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w w:val="99"/>
              </w:rPr>
              <w:t>Financial Statements</w:t>
            </w:r>
          </w:p>
        </w:tc>
        <w:tc>
          <w:tcPr>
            <w:tcW w:w="280" w:type="dxa"/>
            <w:vAlign w:val="bottom"/>
            <w:tcBorders>
              <w:top w:val="single" w:sz="8" w:color="auto"/>
            </w:tcBorders>
            <w:gridSpan w:val="2"/>
          </w:tcPr>
          <w:p>
            <w:pPr>
              <w:spacing w:after="0"/>
              <w:rPr>
                <w:sz w:val="24"/>
                <w:szCs w:val="24"/>
                <w:color w:val="auto"/>
              </w:rPr>
            </w:pPr>
          </w:p>
        </w:tc>
        <w:tc>
          <w:tcPr>
            <w:tcW w:w="7340" w:type="dxa"/>
            <w:vAlign w:val="bottom"/>
            <w:gridSpan w:val="11"/>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18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Condensed Consolidated Balance Sheets as of September 30, 2025 (unaudited) and December 31, 2024</w:t>
            </w:r>
          </w:p>
        </w:tc>
        <w:tc>
          <w:tcPr>
            <w:tcW w:w="1880" w:type="dxa"/>
            <w:vAlign w:val="bottom"/>
            <w:gridSpan w:val="4"/>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Condensed Consolidated Statements of Operations and Comprehensive Income for the Three and Nine Months Ended</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40" w:type="dxa"/>
            <w:vAlign w:val="bottom"/>
            <w:tcBorders>
              <w:top w:val="single" w:sz="8" w:color="auto"/>
            </w:tcBorders>
            <w:gridSpan w:val="17"/>
          </w:tcPr>
          <w:p>
            <w:pPr>
              <w:spacing w:after="0" w:line="136" w:lineRule="exact"/>
              <w:rPr>
                <w:sz w:val="20"/>
                <w:szCs w:val="20"/>
                <w:color w:val="auto"/>
              </w:rPr>
            </w:pPr>
            <w:r>
              <w:rPr>
                <w:rFonts w:ascii="Times New Roman" w:cs="Times New Roman" w:eastAsia="Times New Roman" w:hAnsi="Times New Roman"/>
                <w:sz w:val="15"/>
                <w:szCs w:val="15"/>
                <w:color w:val="auto"/>
              </w:rPr>
              <w:t>September 30, 2025 and 2024 (unaudited)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6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for the Three and Nine Months Ended September 30, 2025 and</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5"/>
          </w:tcPr>
          <w:p>
            <w:pPr>
              <w:spacing w:after="0" w:line="136" w:lineRule="exact"/>
              <w:rPr>
                <w:sz w:val="20"/>
                <w:szCs w:val="20"/>
                <w:color w:val="auto"/>
              </w:rPr>
            </w:pPr>
            <w:r>
              <w:rPr>
                <w:rFonts w:ascii="Times New Roman" w:cs="Times New Roman" w:eastAsia="Times New Roman" w:hAnsi="Times New Roman"/>
                <w:sz w:val="15"/>
                <w:szCs w:val="15"/>
                <w:color w:val="auto"/>
              </w:rPr>
              <w:t>2024 (unaudited)</w:t>
            </w:r>
          </w:p>
        </w:tc>
        <w:tc>
          <w:tcPr>
            <w:tcW w:w="7300" w:type="dxa"/>
            <w:vAlign w:val="bottom"/>
            <w:tcBorders>
              <w:top w:val="single" w:sz="8" w:color="auto"/>
            </w:tcBorders>
            <w:gridSpan w:val="14"/>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8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for the Nine Months Ended September 30, 2025 and 2024 (unaudited)</w:t>
            </w:r>
          </w:p>
        </w:tc>
        <w:tc>
          <w:tcPr>
            <w:tcW w:w="580" w:type="dxa"/>
            <w:vAlign w:val="bottom"/>
            <w:gridSpan w:val="2"/>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8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tc>
        <w:tc>
          <w:tcPr>
            <w:tcW w:w="4380" w:type="dxa"/>
            <w:vAlign w:val="bottom"/>
            <w:gridSpan w:val="6"/>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62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2840" w:type="dxa"/>
            <w:vAlign w:val="bottom"/>
            <w:gridSpan w:val="5"/>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420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4860" w:type="dxa"/>
            <w:vAlign w:val="bottom"/>
            <w:gridSpan w:val="7"/>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906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Controls and Procedures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PART II. OTHER INFORMATION</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Item 1.</w:t>
            </w:r>
          </w:p>
        </w:tc>
        <w:tc>
          <w:tcPr>
            <w:tcW w:w="128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w w:val="99"/>
              </w:rPr>
              <w:t>Legal Proceedings</w:t>
            </w:r>
          </w:p>
        </w:tc>
        <w:tc>
          <w:tcPr>
            <w:tcW w:w="140" w:type="dxa"/>
            <w:vAlign w:val="bottom"/>
            <w:tcBorders>
              <w:top w:val="single" w:sz="8" w:color="auto"/>
            </w:tcBorders>
            <w:gridSpan w:val="2"/>
          </w:tcPr>
          <w:p>
            <w:pPr>
              <w:spacing w:after="0"/>
              <w:rPr>
                <w:sz w:val="24"/>
                <w:szCs w:val="24"/>
                <w:color w:val="auto"/>
              </w:rPr>
            </w:pPr>
          </w:p>
        </w:tc>
        <w:tc>
          <w:tcPr>
            <w:tcW w:w="7640" w:type="dxa"/>
            <w:vAlign w:val="bottom"/>
            <w:gridSpan w:val="14"/>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w w:val="98"/>
              </w:rPr>
              <w:t>Risk Factors</w:t>
            </w:r>
          </w:p>
        </w:tc>
        <w:tc>
          <w:tcPr>
            <w:tcW w:w="8200" w:type="dxa"/>
            <w:vAlign w:val="bottom"/>
            <w:gridSpan w:val="18"/>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418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4880" w:type="dxa"/>
            <w:vAlign w:val="bottom"/>
            <w:gridSpan w:val="8"/>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906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Defaults Upon Senior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222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7"/>
                <w:szCs w:val="17"/>
                <w:color w:val="auto"/>
              </w:rPr>
              <w:t>Mine Safety Disclosures</w:t>
            </w:r>
          </w:p>
        </w:tc>
        <w:tc>
          <w:tcPr>
            <w:tcW w:w="6840" w:type="dxa"/>
            <w:vAlign w:val="bottom"/>
            <w:gridSpan w:val="10"/>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126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w w:val="99"/>
              </w:rPr>
              <w:t>Other Information</w:t>
            </w:r>
          </w:p>
        </w:tc>
        <w:tc>
          <w:tcPr>
            <w:tcW w:w="420" w:type="dxa"/>
            <w:vAlign w:val="bottom"/>
            <w:tcBorders>
              <w:top w:val="single" w:sz="8" w:color="auto"/>
            </w:tcBorders>
            <w:gridSpan w:val="5"/>
          </w:tcPr>
          <w:p>
            <w:pPr>
              <w:spacing w:after="0"/>
              <w:rPr>
                <w:sz w:val="17"/>
                <w:szCs w:val="17"/>
                <w:color w:val="auto"/>
              </w:rPr>
            </w:pPr>
          </w:p>
        </w:tc>
        <w:tc>
          <w:tcPr>
            <w:tcW w:w="7380" w:type="dxa"/>
            <w:vAlign w:val="bottom"/>
            <w:gridSpan w:val="12"/>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906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Exhibits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500" w:type="dxa"/>
            <w:vAlign w:val="bottom"/>
            <w:gridSpan w:val="19"/>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20" w:type="dxa"/>
            <w:vAlign w:val="bottom"/>
          </w:tcPr>
          <w:p>
            <w:pPr>
              <w:spacing w:after="0"/>
              <w:rPr>
                <w:sz w:val="24"/>
                <w:szCs w:val="24"/>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SIGNATURES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7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7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0" w:type="dxa"/>
            <w:vAlign w:val="bottom"/>
          </w:tcPr>
          <w:p>
            <w:pPr>
              <w:jc w:val="center"/>
              <w:ind w:left="3533"/>
              <w:spacing w:after="0"/>
              <w:rPr>
                <w:sz w:val="20"/>
                <w:szCs w:val="20"/>
                <w:color w:val="auto"/>
              </w:rPr>
            </w:pPr>
            <w:r>
              <w:rPr>
                <w:rFonts w:ascii="Times New Roman" w:cs="Times New Roman" w:eastAsia="Times New Roman" w:hAnsi="Times New Roman"/>
                <w:sz w:val="17"/>
                <w:szCs w:val="17"/>
                <w:b w:val="1"/>
                <w:bCs w:val="1"/>
                <w:color w:val="auto"/>
              </w:rPr>
              <w:t>Krystal Biotech, Inc.</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0" w:type="dxa"/>
            <w:vAlign w:val="bottom"/>
          </w:tcPr>
          <w:p>
            <w:pPr>
              <w:jc w:val="center"/>
              <w:ind w:left="3533"/>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0" w:type="dxa"/>
            <w:vAlign w:val="bottom"/>
          </w:tcPr>
          <w:p>
            <w:pPr>
              <w:jc w:val="center"/>
              <w:ind w:left="353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par value)</w:t>
            </w:r>
          </w:p>
        </w:tc>
        <w:tc>
          <w:tcPr>
            <w:tcW w:w="220" w:type="dxa"/>
            <w:vAlign w:val="bottom"/>
          </w:tcPr>
          <w:p>
            <w:pPr>
              <w:spacing w:after="0"/>
              <w:rPr>
                <w:sz w:val="24"/>
                <w:szCs w:val="24"/>
                <w:color w:val="auto"/>
              </w:rPr>
            </w:pPr>
          </w:p>
        </w:tc>
        <w:tc>
          <w:tcPr>
            <w:tcW w:w="152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392,604</w:t>
            </w:r>
          </w:p>
        </w:tc>
        <w:tc>
          <w:tcPr>
            <w:tcW w:w="3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344,865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Short-term investments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338,465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252,652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Accounts receivable, net</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129,633</w:t>
            </w:r>
          </w:p>
        </w:tc>
        <w:tc>
          <w:tcPr>
            <w:tcW w:w="120" w:type="dxa"/>
            <w:vAlign w:val="bottom"/>
            <w:shd w:val="clear" w:color="auto" w:fill="CCEEFF"/>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104,746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Inventory</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26,508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Prepaid taxes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925,650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742,045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155,168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investments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 net of valuation allowance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1,240,094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2,097</w:t>
            </w:r>
          </w:p>
        </w:tc>
        <w:tc>
          <w:tcPr>
            <w:tcW w:w="36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Current portion of lease liability</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rebates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36,804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101,995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liability</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109,458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(see note 7)</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auto"/>
              </w:rPr>
              <w:t>Common stock; $0.00001 par value; 80,000 shares authorized as of September 30, 2025 and December 31,</w:t>
            </w: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00" w:type="dxa"/>
            <w:vAlign w:val="bottom"/>
          </w:tcPr>
          <w:p>
            <w:pPr>
              <w:ind w:left="180"/>
              <w:spacing w:after="0" w:line="177" w:lineRule="exact"/>
              <w:rPr>
                <w:sz w:val="20"/>
                <w:szCs w:val="20"/>
                <w:color w:val="auto"/>
              </w:rPr>
            </w:pPr>
            <w:r>
              <w:rPr>
                <w:rFonts w:ascii="Times New Roman" w:cs="Times New Roman" w:eastAsia="Times New Roman" w:hAnsi="Times New Roman"/>
                <w:sz w:val="17"/>
                <w:szCs w:val="17"/>
                <w:color w:val="auto"/>
              </w:rPr>
              <w:t>2024; 28,984 and 28,794 shares issued and outstanding as of September 30, 2025 and December 31, 2024,</w:t>
            </w: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respectively.</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1,164,013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1,127,238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gain (loss)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1,137,876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946,380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1,240,094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 w:name="page4"/>
    <w:bookmarkEnd w:id="3"/>
    <w:p>
      <w:pPr>
        <w:ind w:left="5180"/>
        <w:spacing w:after="0"/>
        <w:rPr>
          <w:sz w:val="20"/>
          <w:szCs w:val="20"/>
          <w:color w:val="auto"/>
        </w:rPr>
      </w:pPr>
      <w:r>
        <w:rPr>
          <w:rFonts w:ascii="Times New Roman" w:cs="Times New Roman" w:eastAsia="Times New Roman" w:hAnsi="Times New Roman"/>
          <w:sz w:val="17"/>
          <w:szCs w:val="17"/>
          <w:b w:val="1"/>
          <w:bCs w:val="1"/>
          <w:color w:val="auto"/>
        </w:rPr>
        <w:t>Krystal Biotech, Inc.</w:t>
      </w:r>
    </w:p>
    <w:p>
      <w:pPr>
        <w:spacing w:after="0" w:line="3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w:t>
      </w:r>
    </w:p>
    <w:p>
      <w:pPr>
        <w:spacing w:after="0" w:line="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00" w:type="dxa"/>
            <w:vAlign w:val="bottom"/>
          </w:tcPr>
          <w:p>
            <w:pPr>
              <w:spacing w:after="0"/>
              <w:rPr>
                <w:sz w:val="19"/>
                <w:szCs w:val="19"/>
                <w:color w:val="auto"/>
              </w:rPr>
            </w:pPr>
          </w:p>
        </w:tc>
        <w:tc>
          <w:tcPr>
            <w:tcW w:w="3260" w:type="dxa"/>
            <w:vAlign w:val="bottom"/>
            <w:gridSpan w:val="4"/>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5"/>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data)</w:t>
            </w:r>
          </w:p>
        </w:tc>
        <w:tc>
          <w:tcPr>
            <w:tcW w:w="2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 net</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83,841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199,376</w:t>
            </w:r>
          </w:p>
        </w:tc>
      </w:tr>
      <w:tr>
        <w:trPr>
          <w:trHeight w:val="221"/>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1"/>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goods sold</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15,112</w:t>
            </w:r>
          </w:p>
        </w:tc>
      </w:tr>
      <w:tr>
        <w:trPr>
          <w:trHeight w:val="221"/>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40,052</w:t>
            </w:r>
          </w:p>
        </w:tc>
      </w:tr>
      <w:tr>
        <w:trPr>
          <w:trHeight w:val="221"/>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82,339</w:t>
            </w:r>
          </w:p>
        </w:tc>
      </w:tr>
      <w:tr>
        <w:trPr>
          <w:trHeight w:val="221"/>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settlement</w:t>
            </w:r>
          </w:p>
        </w:tc>
        <w:tc>
          <w:tcPr>
            <w:tcW w:w="2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w:t>
            </w:r>
          </w:p>
        </w:tc>
      </w:tr>
      <w:tr>
        <w:trPr>
          <w:trHeight w:val="214"/>
        </w:trPr>
        <w:tc>
          <w:tcPr>
            <w:tcW w:w="40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56,426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61,369</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165,000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175,003</w:t>
            </w:r>
          </w:p>
        </w:tc>
      </w:tr>
      <w:tr>
        <w:trPr>
          <w:trHeight w:val="214"/>
        </w:trPr>
        <w:tc>
          <w:tcPr>
            <w:tcW w:w="40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from operations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24,373</w:t>
            </w:r>
          </w:p>
        </w:tc>
      </w:tr>
      <w:tr>
        <w:trPr>
          <w:trHeight w:val="22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1"/>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22,373</w:t>
            </w:r>
          </w:p>
        </w:tc>
      </w:tr>
      <w:tr>
        <w:trPr>
          <w:trHeight w:val="214"/>
        </w:trPr>
        <w:tc>
          <w:tcPr>
            <w:tcW w:w="4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46,746</w:t>
            </w:r>
          </w:p>
        </w:tc>
      </w:tr>
      <w:tr>
        <w:trPr>
          <w:trHeight w:val="221"/>
        </w:trPr>
        <w:tc>
          <w:tcPr>
            <w:tcW w:w="4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(3,066)</w:t>
            </w:r>
          </w:p>
        </w:tc>
      </w:tr>
      <w:tr>
        <w:trPr>
          <w:trHeight w:val="214"/>
        </w:trPr>
        <w:tc>
          <w:tcPr>
            <w:tcW w:w="4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43,680</w:t>
            </w:r>
          </w:p>
        </w:tc>
      </w:tr>
      <w:tr>
        <w:trPr>
          <w:trHeight w:val="221"/>
        </w:trPr>
        <w:tc>
          <w:tcPr>
            <w:tcW w:w="40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Unrealized gain on available-for-sale securities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w:t>
            </w:r>
          </w:p>
        </w:tc>
      </w:tr>
      <w:tr>
        <w:trPr>
          <w:trHeight w:val="221"/>
        </w:trPr>
        <w:tc>
          <w:tcPr>
            <w:tcW w:w="4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14"/>
        </w:trPr>
        <w:tc>
          <w:tcPr>
            <w:tcW w:w="40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Comprehensive income</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79,308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29,326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154,721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44,554</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7"/>
        </w:trPr>
        <w:tc>
          <w:tcPr>
            <w:tcW w:w="4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1"/>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1"/>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21"/>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0.91</w:t>
            </w:r>
          </w:p>
        </w:tc>
        <w:tc>
          <w:tcPr>
            <w:tcW w:w="8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60"/>
        </w:trPr>
        <w:tc>
          <w:tcPr>
            <w:tcW w:w="4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1"/>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1"/>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28,537</w:t>
            </w:r>
          </w:p>
        </w:tc>
      </w:tr>
      <w:tr>
        <w:trPr>
          <w:trHeight w:val="227"/>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29,669</w:t>
            </w:r>
          </w:p>
        </w:tc>
      </w:tr>
    </w:tbl>
    <w:p>
      <w:pPr>
        <w:spacing w:after="0" w:line="27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Krystal Biotech, Inc.</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1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5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Accumulated Other</w:t>
            </w: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820" w:type="dxa"/>
            <w:vAlign w:val="bottom"/>
            <w:tcBorders>
              <w:bottom w:val="single" w:sz="8" w:color="auto"/>
            </w:tcBorders>
            <w:gridSpan w:val="2"/>
            <w:vMerge w:val="continue"/>
          </w:tcPr>
          <w:p>
            <w:pPr>
              <w:spacing w:after="0"/>
              <w:rPr>
                <w:sz w:val="12"/>
                <w:szCs w:val="12"/>
                <w:color w:val="auto"/>
              </w:rPr>
            </w:pPr>
          </w:p>
        </w:tc>
        <w:tc>
          <w:tcPr>
            <w:tcW w:w="154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rPr>
              <w:t>Additional Paid-in</w:t>
            </w:r>
          </w:p>
        </w:tc>
        <w:tc>
          <w:tcPr>
            <w:tcW w:w="152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560" w:type="dxa"/>
            <w:vAlign w:val="bottom"/>
          </w:tcPr>
          <w:p>
            <w:pPr>
              <w:spacing w:after="0"/>
              <w:rPr>
                <w:sz w:val="12"/>
                <w:szCs w:val="12"/>
                <w:color w:val="auto"/>
              </w:rPr>
            </w:pPr>
          </w:p>
        </w:tc>
        <w:tc>
          <w:tcPr>
            <w:tcW w:w="1380" w:type="dxa"/>
            <w:vAlign w:val="bottom"/>
          </w:tcPr>
          <w:p>
            <w:pPr>
              <w:jc w:val="center"/>
              <w:ind w:left="5"/>
              <w:spacing w:after="0" w:line="136" w:lineRule="exact"/>
              <w:rPr>
                <w:sz w:val="20"/>
                <w:szCs w:val="20"/>
                <w:color w:val="auto"/>
              </w:rPr>
            </w:pPr>
            <w:r>
              <w:rPr>
                <w:rFonts w:ascii="Times New Roman" w:cs="Times New Roman" w:eastAsia="Times New Roman" w:hAnsi="Times New Roman"/>
                <w:sz w:val="15"/>
                <w:szCs w:val="15"/>
                <w:b w:val="1"/>
                <w:bCs w:val="1"/>
                <w:color w:val="auto"/>
              </w:rPr>
              <w:t>Total Stockholders’</w:t>
            </w:r>
          </w:p>
        </w:tc>
        <w:tc>
          <w:tcPr>
            <w:tcW w:w="0" w:type="dxa"/>
            <w:vAlign w:val="bottom"/>
          </w:tcPr>
          <w:p>
            <w:pPr>
              <w:spacing w:after="0"/>
              <w:rPr>
                <w:sz w:val="1"/>
                <w:szCs w:val="1"/>
                <w:color w:val="auto"/>
              </w:rPr>
            </w:pPr>
          </w:p>
        </w:tc>
      </w:tr>
      <w:tr>
        <w:trPr>
          <w:trHeight w:val="198"/>
        </w:trPr>
        <w:tc>
          <w:tcPr>
            <w:tcW w:w="33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540" w:type="dxa"/>
            <w:vAlign w:val="bottom"/>
          </w:tcPr>
          <w:p>
            <w:pPr>
              <w:jc w:val="center"/>
              <w:ind w:left="5"/>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5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1380" w:type="dxa"/>
            <w:vAlign w:val="bottom"/>
          </w:tcPr>
          <w:p>
            <w:pPr>
              <w:jc w:val="center"/>
              <w:ind w:left="5"/>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1905</wp:posOffset>
            </wp:positionV>
            <wp:extent cx="7120890" cy="140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0890" cy="140335"/>
                    </a:xfrm>
                    <a:prstGeom prst="rect">
                      <a:avLst/>
                    </a:prstGeom>
                    <a:noFill/>
                  </pic:spPr>
                </pic:pic>
              </a:graphicData>
            </a:graphic>
          </wp:anchor>
        </w:drawing>
      </w:r>
    </w:p>
    <w:p>
      <w:pPr>
        <w:sectPr>
          <w:pgSz w:w="11900" w:h="16838" w:orient="portrait"/>
          <w:cols w:equalWidth="0" w:num="1">
            <w:col w:w="11200"/>
          </w:cols>
          <w:pgMar w:left="360" w:top="1070" w:right="339" w:bottom="1440" w:gutter="0" w:footer="0" w:header="0"/>
        </w:sectPr>
      </w:pPr>
    </w:p>
    <w:tbl>
      <w:tblPr>
        <w:tblLayout w:type="fixed"/>
        <w:tblInd w:w="0" w:type="dxa"/>
        <w:tblCellMar>
          <w:top w:w="0" w:type="dxa"/>
          <w:left w:w="0" w:type="dxa"/>
          <w:bottom w:w="0" w:type="dxa"/>
          <w:right w:w="0" w:type="dxa"/>
        </w:tblCellMar>
      </w:tblPr>
      <w:tr>
        <w:trPr>
          <w:trHeight w:val="204"/>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 January 1, 2025</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28,794</w:t>
            </w: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330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Vesting of restricted stock units, net of shares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withheld for taxes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Shares of restricted stock awards surrendered for</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taxes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 March 31, 2025</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28,899</w:t>
            </w: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33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 June 30, 2025</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28,927</w:t>
            </w: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33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 September 30, 2025</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28,984</w:t>
            </w: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-2931795</wp:posOffset>
            </wp:positionV>
            <wp:extent cx="7120890" cy="231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0890" cy="23177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-2468880</wp:posOffset>
            </wp:positionV>
            <wp:extent cx="7120890" cy="132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0890" cy="13208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-2204085</wp:posOffset>
            </wp:positionV>
            <wp:extent cx="7120890" cy="132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0890" cy="13208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-1567180</wp:posOffset>
            </wp:positionV>
            <wp:extent cx="7120890" cy="132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0890" cy="13208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-1303020</wp:posOffset>
            </wp:positionV>
            <wp:extent cx="7120890" cy="132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0890" cy="13208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-666115</wp:posOffset>
            </wp:positionV>
            <wp:extent cx="7120890" cy="132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0890" cy="13208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-401320</wp:posOffset>
            </wp:positionV>
            <wp:extent cx="7120890" cy="132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0890" cy="13208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-136525</wp:posOffset>
            </wp:positionV>
            <wp:extent cx="7120890" cy="140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0890" cy="14033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-1038225</wp:posOffset>
            </wp:positionV>
            <wp:extent cx="7120890" cy="14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0890" cy="14033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-1939290</wp:posOffset>
            </wp:positionV>
            <wp:extent cx="7120890" cy="140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0890" cy="140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w w:val="93"/>
              </w:rPr>
              <w:t>1,127,238</w:t>
            </w:r>
          </w:p>
        </w:tc>
        <w:tc>
          <w:tcPr>
            <w:tcW w:w="560" w:type="dxa"/>
            <w:vAlign w:val="bottom"/>
            <w:tcBorders>
              <w:top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tcPr>
          <w:p>
            <w:pPr>
              <w:spacing w:after="0"/>
              <w:rPr>
                <w:sz w:val="17"/>
                <w:szCs w:val="17"/>
                <w:color w:val="auto"/>
              </w:rPr>
            </w:pPr>
          </w:p>
        </w:tc>
        <w:tc>
          <w:tcPr>
            <w:tcW w:w="44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(180,668)</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946,380</w:t>
            </w:r>
          </w:p>
        </w:tc>
      </w:tr>
      <w:tr>
        <w:trPr>
          <w:trHeight w:val="360"/>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1,462</w:t>
            </w:r>
          </w:p>
        </w:tc>
        <w:tc>
          <w:tcPr>
            <w:tcW w:w="5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1,462</w:t>
            </w:r>
          </w:p>
        </w:tc>
      </w:tr>
      <w:tr>
        <w:trPr>
          <w:trHeight w:val="365"/>
        </w:trPr>
        <w:tc>
          <w:tcPr>
            <w:tcW w:w="7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(12,116)</w:t>
            </w:r>
          </w:p>
        </w:tc>
        <w:tc>
          <w:tcPr>
            <w:tcW w:w="5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(12,116)</w:t>
            </w:r>
          </w:p>
        </w:tc>
      </w:tr>
      <w:tr>
        <w:trPr>
          <w:trHeight w:val="365"/>
        </w:trPr>
        <w:tc>
          <w:tcPr>
            <w:tcW w:w="7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(1,812)</w:t>
            </w:r>
          </w:p>
        </w:tc>
        <w:tc>
          <w:tcPr>
            <w:tcW w:w="5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r>
      <w:tr>
        <w:trPr>
          <w:trHeight w:val="208"/>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14,447</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14,447</w:t>
            </w:r>
          </w:p>
        </w:tc>
      </w:tr>
      <w:tr>
        <w:trPr>
          <w:trHeight w:val="208"/>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344</w:t>
            </w:r>
          </w:p>
        </w:tc>
      </w:tr>
      <w:tr>
        <w:trPr>
          <w:trHeight w:val="208"/>
        </w:trPr>
        <w:tc>
          <w:tcPr>
            <w:tcW w:w="780" w:type="dxa"/>
            <w:vAlign w:val="bottom"/>
          </w:tcPr>
          <w:p>
            <w:pPr>
              <w:jc w:val="right"/>
              <w:ind w:right="8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236</w:t>
            </w:r>
          </w:p>
        </w:tc>
      </w:tr>
      <w:tr>
        <w:trPr>
          <w:trHeight w:val="208"/>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35,733</w:t>
            </w:r>
          </w:p>
        </w:tc>
      </w:tr>
      <w:tr>
        <w:trPr>
          <w:trHeight w:val="202"/>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w w:val="93"/>
              </w:rPr>
              <w:t>1,129,219</w:t>
            </w:r>
          </w:p>
        </w:tc>
        <w:tc>
          <w:tcPr>
            <w:tcW w:w="560" w:type="dxa"/>
            <w:vAlign w:val="bottom"/>
            <w:tcBorders>
              <w:top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80" w:type="dxa"/>
            <w:vAlign w:val="bottom"/>
          </w:tcPr>
          <w:p>
            <w:pPr>
              <w:spacing w:after="0"/>
              <w:rPr>
                <w:sz w:val="17"/>
                <w:szCs w:val="17"/>
                <w:color w:val="auto"/>
              </w:rPr>
            </w:pPr>
          </w:p>
        </w:tc>
        <w:tc>
          <w:tcPr>
            <w:tcW w:w="44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(144,935)</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984,674</w:t>
            </w:r>
          </w:p>
        </w:tc>
      </w:tr>
      <w:tr>
        <w:trPr>
          <w:trHeight w:val="364"/>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1,796</w:t>
            </w:r>
          </w:p>
        </w:tc>
        <w:tc>
          <w:tcPr>
            <w:tcW w:w="5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1,796</w:t>
            </w:r>
          </w:p>
        </w:tc>
      </w:tr>
      <w:tr>
        <w:trPr>
          <w:trHeight w:val="208"/>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15,077</w:t>
            </w:r>
          </w:p>
        </w:tc>
        <w:tc>
          <w:tcPr>
            <w:tcW w:w="5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15,077</w:t>
            </w:r>
          </w:p>
        </w:tc>
      </w:tr>
      <w:tr>
        <w:trPr>
          <w:trHeight w:val="208"/>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08"/>
        </w:trPr>
        <w:tc>
          <w:tcPr>
            <w:tcW w:w="780" w:type="dxa"/>
            <w:vAlign w:val="bottom"/>
          </w:tcPr>
          <w:p>
            <w:pPr>
              <w:jc w:val="right"/>
              <w:ind w:right="8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925</w:t>
            </w:r>
          </w:p>
        </w:tc>
      </w:tr>
      <w:tr>
        <w:trPr>
          <w:trHeight w:val="208"/>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38,333</w:t>
            </w:r>
          </w:p>
        </w:tc>
      </w:tr>
      <w:tr>
        <w:trPr>
          <w:trHeight w:val="202"/>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w w:val="93"/>
              </w:rPr>
              <w:t>1,146,092</w:t>
            </w:r>
          </w:p>
        </w:tc>
        <w:tc>
          <w:tcPr>
            <w:tcW w:w="560" w:type="dxa"/>
            <w:vAlign w:val="bottom"/>
            <w:tcBorders>
              <w:top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80" w:type="dxa"/>
            <w:vAlign w:val="bottom"/>
          </w:tcPr>
          <w:p>
            <w:pPr>
              <w:spacing w:after="0"/>
              <w:rPr>
                <w:sz w:val="17"/>
                <w:szCs w:val="17"/>
                <w:color w:val="auto"/>
              </w:rPr>
            </w:pPr>
          </w:p>
        </w:tc>
        <w:tc>
          <w:tcPr>
            <w:tcW w:w="44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(106,602)</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1,040,647</w:t>
            </w:r>
          </w:p>
        </w:tc>
      </w:tr>
      <w:tr>
        <w:trPr>
          <w:trHeight w:val="364"/>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3,713</w:t>
            </w:r>
          </w:p>
        </w:tc>
        <w:tc>
          <w:tcPr>
            <w:tcW w:w="5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3,713</w:t>
            </w:r>
          </w:p>
        </w:tc>
      </w:tr>
      <w:tr>
        <w:trPr>
          <w:trHeight w:val="208"/>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14,208</w:t>
            </w:r>
          </w:p>
        </w:tc>
        <w:tc>
          <w:tcPr>
            <w:tcW w:w="5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14,208</w:t>
            </w:r>
          </w:p>
        </w:tc>
      </w:tr>
      <w:tr>
        <w:trPr>
          <w:trHeight w:val="208"/>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657</w:t>
            </w:r>
          </w:p>
        </w:tc>
      </w:tr>
      <w:tr>
        <w:trPr>
          <w:trHeight w:val="208"/>
        </w:trPr>
        <w:tc>
          <w:tcPr>
            <w:tcW w:w="780" w:type="dxa"/>
            <w:vAlign w:val="bottom"/>
          </w:tcPr>
          <w:p>
            <w:pPr>
              <w:jc w:val="right"/>
              <w:ind w:right="8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08"/>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79,365</w:t>
            </w:r>
          </w:p>
        </w:tc>
      </w:tr>
      <w:tr>
        <w:trPr>
          <w:trHeight w:val="202"/>
        </w:trPr>
        <w:tc>
          <w:tcPr>
            <w:tcW w:w="7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w w:val="93"/>
              </w:rPr>
              <w:t>1,164,013</w:t>
            </w:r>
          </w:p>
        </w:tc>
        <w:tc>
          <w:tcPr>
            <w:tcW w:w="560" w:type="dxa"/>
            <w:vAlign w:val="bottom"/>
            <w:tcBorders>
              <w:top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80" w:type="dxa"/>
            <w:vAlign w:val="bottom"/>
          </w:tcPr>
          <w:p>
            <w:pPr>
              <w:spacing w:after="0"/>
              <w:rPr>
                <w:sz w:val="17"/>
                <w:szCs w:val="17"/>
                <w:color w:val="auto"/>
              </w:rPr>
            </w:pPr>
          </w:p>
        </w:tc>
        <w:tc>
          <w:tcPr>
            <w:tcW w:w="44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(27,237)</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1,137,876</w:t>
            </w:r>
          </w:p>
        </w:tc>
      </w:tr>
    </w:tbl>
    <w:p>
      <w:pPr>
        <w:spacing w:after="0" w:line="200" w:lineRule="exact"/>
        <w:rPr>
          <w:sz w:val="20"/>
          <w:szCs w:val="20"/>
          <w:color w:val="auto"/>
        </w:rPr>
      </w:pPr>
    </w:p>
    <w:p>
      <w:pPr>
        <w:sectPr>
          <w:pgSz w:w="11900" w:h="16838" w:orient="portrait"/>
          <w:cols w:equalWidth="0" w:num="2">
            <w:col w:w="5300" w:space="640"/>
            <w:col w:w="5260"/>
          </w:cols>
          <w:pgMar w:left="360" w:top="107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80645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60" w:top="1070"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1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5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Accumulated Other</w:t>
            </w: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820" w:type="dxa"/>
            <w:vAlign w:val="bottom"/>
            <w:tcBorders>
              <w:bottom w:val="single" w:sz="8" w:color="auto"/>
            </w:tcBorders>
            <w:gridSpan w:val="2"/>
            <w:vMerge w:val="continue"/>
          </w:tcPr>
          <w:p>
            <w:pPr>
              <w:spacing w:after="0"/>
              <w:rPr>
                <w:sz w:val="12"/>
                <w:szCs w:val="12"/>
                <w:color w:val="auto"/>
              </w:rPr>
            </w:pPr>
          </w:p>
        </w:tc>
        <w:tc>
          <w:tcPr>
            <w:tcW w:w="154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rPr>
              <w:t>Additional Paid-in</w:t>
            </w:r>
          </w:p>
        </w:tc>
        <w:tc>
          <w:tcPr>
            <w:tcW w:w="152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560" w:type="dxa"/>
            <w:vAlign w:val="bottom"/>
          </w:tcPr>
          <w:p>
            <w:pPr>
              <w:spacing w:after="0"/>
              <w:rPr>
                <w:sz w:val="12"/>
                <w:szCs w:val="12"/>
                <w:color w:val="auto"/>
              </w:rPr>
            </w:pPr>
          </w:p>
        </w:tc>
        <w:tc>
          <w:tcPr>
            <w:tcW w:w="1380" w:type="dxa"/>
            <w:vAlign w:val="bottom"/>
          </w:tcPr>
          <w:p>
            <w:pPr>
              <w:jc w:val="center"/>
              <w:ind w:left="5"/>
              <w:spacing w:after="0" w:line="136" w:lineRule="exact"/>
              <w:rPr>
                <w:sz w:val="20"/>
                <w:szCs w:val="20"/>
                <w:color w:val="auto"/>
              </w:rPr>
            </w:pPr>
            <w:r>
              <w:rPr>
                <w:rFonts w:ascii="Times New Roman" w:cs="Times New Roman" w:eastAsia="Times New Roman" w:hAnsi="Times New Roman"/>
                <w:sz w:val="15"/>
                <w:szCs w:val="15"/>
                <w:b w:val="1"/>
                <w:bCs w:val="1"/>
                <w:color w:val="auto"/>
              </w:rPr>
              <w:t>Total Stockholders’</w:t>
            </w:r>
          </w:p>
        </w:tc>
        <w:tc>
          <w:tcPr>
            <w:tcW w:w="0" w:type="dxa"/>
            <w:vAlign w:val="bottom"/>
          </w:tcPr>
          <w:p>
            <w:pPr>
              <w:spacing w:after="0"/>
              <w:rPr>
                <w:sz w:val="1"/>
                <w:szCs w:val="1"/>
                <w:color w:val="auto"/>
              </w:rPr>
            </w:pPr>
          </w:p>
        </w:tc>
      </w:tr>
      <w:tr>
        <w:trPr>
          <w:trHeight w:val="198"/>
        </w:trPr>
        <w:tc>
          <w:tcPr>
            <w:tcW w:w="33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540" w:type="dxa"/>
            <w:vAlign w:val="bottom"/>
          </w:tcPr>
          <w:p>
            <w:pPr>
              <w:jc w:val="center"/>
              <w:ind w:left="5"/>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5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1380" w:type="dxa"/>
            <w:vAlign w:val="bottom"/>
          </w:tcPr>
          <w:p>
            <w:pPr>
              <w:jc w:val="center"/>
              <w:ind w:left="5"/>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1905</wp:posOffset>
            </wp:positionV>
            <wp:extent cx="7120890" cy="140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0890" cy="140335"/>
                    </a:xfrm>
                    <a:prstGeom prst="rect">
                      <a:avLst/>
                    </a:prstGeom>
                    <a:noFill/>
                  </pic:spPr>
                </pic:pic>
              </a:graphicData>
            </a:graphic>
          </wp:anchor>
        </w:drawing>
      </w:r>
    </w:p>
    <w:p>
      <w:pPr>
        <w:sectPr>
          <w:pgSz w:w="11900" w:h="16838" w:orient="portrait"/>
          <w:cols w:equalWidth="0" w:num="1">
            <w:col w:w="11200"/>
          </w:cols>
          <w:pgMar w:left="360" w:top="1362" w:right="339" w:bottom="1440" w:gutter="0" w:footer="0" w:header="0"/>
        </w:sectPr>
      </w:pPr>
    </w:p>
    <w:tbl>
      <w:tblPr>
        <w:tblLayout w:type="fixed"/>
        <w:tblInd w:w="0" w:type="dxa"/>
        <w:tblCellMar>
          <w:top w:w="0" w:type="dxa"/>
          <w:left w:w="0" w:type="dxa"/>
          <w:bottom w:w="0" w:type="dxa"/>
          <w:right w:w="0" w:type="dxa"/>
        </w:tblCellMar>
      </w:tblPr>
      <w:tr>
        <w:trPr>
          <w:trHeight w:val="204"/>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 January 1, 2024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28,237</w:t>
            </w: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330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Vesting of restricted stock units, net of shares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withheld for taxes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Shares of restricted stock awards surrendered for</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taxes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 March 31, 2024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28,528</w:t>
            </w: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33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 June 30, 2024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28,709</w:t>
            </w: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33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 September 30, 2024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28,757</w:t>
            </w: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-2931795</wp:posOffset>
            </wp:positionV>
            <wp:extent cx="7120890" cy="231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0890" cy="23177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-2468880</wp:posOffset>
            </wp:positionV>
            <wp:extent cx="7120890" cy="132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0890" cy="13208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-2204085</wp:posOffset>
            </wp:positionV>
            <wp:extent cx="7120890" cy="132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0890" cy="13208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-1567180</wp:posOffset>
            </wp:positionV>
            <wp:extent cx="7120890" cy="132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0890" cy="13208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-1303020</wp:posOffset>
            </wp:positionV>
            <wp:extent cx="7120890" cy="132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0890" cy="13208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-666115</wp:posOffset>
            </wp:positionV>
            <wp:extent cx="7120890" cy="132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0890" cy="13208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-401320</wp:posOffset>
            </wp:positionV>
            <wp:extent cx="7120890" cy="132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0890" cy="13208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-136525</wp:posOffset>
            </wp:positionV>
            <wp:extent cx="7120890" cy="140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0890" cy="14033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-1038225</wp:posOffset>
            </wp:positionV>
            <wp:extent cx="7120890" cy="140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0890" cy="14033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-1939290</wp:posOffset>
            </wp:positionV>
            <wp:extent cx="7120890" cy="140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0890" cy="140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3"/>
              </w:rPr>
              <w:t>1,047,830</w:t>
            </w:r>
          </w:p>
        </w:tc>
        <w:tc>
          <w:tcPr>
            <w:tcW w:w="560" w:type="dxa"/>
            <w:vAlign w:val="bottom"/>
            <w:tcBorders>
              <w:top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80" w:type="dxa"/>
            <w:vAlign w:val="bottom"/>
          </w:tcPr>
          <w:p>
            <w:pPr>
              <w:spacing w:after="0"/>
              <w:rPr>
                <w:sz w:val="17"/>
                <w:szCs w:val="17"/>
                <w:color w:val="auto"/>
              </w:rPr>
            </w:pPr>
          </w:p>
        </w:tc>
        <w:tc>
          <w:tcPr>
            <w:tcW w:w="44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(269,827)</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778,641</w:t>
            </w:r>
          </w:p>
        </w:tc>
      </w:tr>
      <w:tr>
        <w:trPr>
          <w:trHeight w:val="360"/>
        </w:trPr>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15,969</w:t>
            </w:r>
          </w:p>
        </w:tc>
        <w:tc>
          <w:tcPr>
            <w:tcW w:w="5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15,969</w:t>
            </w:r>
          </w:p>
        </w:tc>
      </w:tr>
      <w:tr>
        <w:trPr>
          <w:trHeight w:val="365"/>
        </w:trPr>
        <w:tc>
          <w:tcPr>
            <w:tcW w:w="7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(4,181)</w:t>
            </w:r>
          </w:p>
        </w:tc>
        <w:tc>
          <w:tcPr>
            <w:tcW w:w="5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(4,181)</w:t>
            </w:r>
          </w:p>
        </w:tc>
      </w:tr>
      <w:tr>
        <w:trPr>
          <w:trHeight w:val="365"/>
        </w:trPr>
        <w:tc>
          <w:tcPr>
            <w:tcW w:w="7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(1,205)</w:t>
            </w:r>
          </w:p>
        </w:tc>
        <w:tc>
          <w:tcPr>
            <w:tcW w:w="5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r>
      <w:tr>
        <w:trPr>
          <w:trHeight w:val="208"/>
        </w:trPr>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10,023</w:t>
            </w:r>
          </w:p>
        </w:tc>
        <w:tc>
          <w:tcPr>
            <w:tcW w:w="5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10,023</w:t>
            </w:r>
          </w:p>
        </w:tc>
      </w:tr>
      <w:tr>
        <w:trPr>
          <w:trHeight w:val="208"/>
        </w:trPr>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r>
      <w:tr>
        <w:trPr>
          <w:trHeight w:val="208"/>
        </w:trPr>
        <w:tc>
          <w:tcPr>
            <w:tcW w:w="780" w:type="dxa"/>
            <w:vAlign w:val="bottom"/>
          </w:tcPr>
          <w:p>
            <w:pPr>
              <w:jc w:val="right"/>
              <w:ind w:right="84"/>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08"/>
        </w:trPr>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932</w:t>
            </w:r>
          </w:p>
        </w:tc>
      </w:tr>
      <w:tr>
        <w:trPr>
          <w:trHeight w:val="202"/>
        </w:trPr>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3"/>
              </w:rPr>
              <w:t>1,068,436</w:t>
            </w:r>
          </w:p>
        </w:tc>
        <w:tc>
          <w:tcPr>
            <w:tcW w:w="560" w:type="dxa"/>
            <w:vAlign w:val="bottom"/>
            <w:tcBorders>
              <w:top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Pr>
          <w:p>
            <w:pPr>
              <w:spacing w:after="0"/>
              <w:rPr>
                <w:sz w:val="17"/>
                <w:szCs w:val="17"/>
                <w:color w:val="auto"/>
              </w:rPr>
            </w:pPr>
          </w:p>
        </w:tc>
        <w:tc>
          <w:tcPr>
            <w:tcW w:w="44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(268,895)</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799,242</w:t>
            </w:r>
          </w:p>
        </w:tc>
      </w:tr>
      <w:tr>
        <w:trPr>
          <w:trHeight w:val="364"/>
        </w:trPr>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10,637</w:t>
            </w:r>
          </w:p>
        </w:tc>
        <w:tc>
          <w:tcPr>
            <w:tcW w:w="5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10,637</w:t>
            </w:r>
          </w:p>
        </w:tc>
      </w:tr>
      <w:tr>
        <w:trPr>
          <w:trHeight w:val="208"/>
        </w:trPr>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13,781</w:t>
            </w:r>
          </w:p>
        </w:tc>
        <w:tc>
          <w:tcPr>
            <w:tcW w:w="5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13,781</w:t>
            </w:r>
          </w:p>
        </w:tc>
      </w:tr>
      <w:tr>
        <w:trPr>
          <w:trHeight w:val="208"/>
        </w:trPr>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08"/>
        </w:trPr>
        <w:tc>
          <w:tcPr>
            <w:tcW w:w="780" w:type="dxa"/>
            <w:vAlign w:val="bottom"/>
          </w:tcPr>
          <w:p>
            <w:pPr>
              <w:jc w:val="right"/>
              <w:ind w:right="84"/>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08"/>
        </w:trPr>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15,568</w:t>
            </w:r>
          </w:p>
        </w:tc>
      </w:tr>
      <w:tr>
        <w:trPr>
          <w:trHeight w:val="202"/>
        </w:trPr>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3"/>
              </w:rPr>
              <w:t>1,092,854</w:t>
            </w:r>
          </w:p>
        </w:tc>
        <w:tc>
          <w:tcPr>
            <w:tcW w:w="560" w:type="dxa"/>
            <w:vAlign w:val="bottom"/>
            <w:tcBorders>
              <w:top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80" w:type="dxa"/>
            <w:vAlign w:val="bottom"/>
          </w:tcPr>
          <w:p>
            <w:pPr>
              <w:spacing w:after="0"/>
              <w:rPr>
                <w:sz w:val="17"/>
                <w:szCs w:val="17"/>
                <w:color w:val="auto"/>
              </w:rPr>
            </w:pPr>
          </w:p>
        </w:tc>
        <w:tc>
          <w:tcPr>
            <w:tcW w:w="44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(253,327)</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838,893</w:t>
            </w:r>
          </w:p>
        </w:tc>
      </w:tr>
      <w:tr>
        <w:trPr>
          <w:trHeight w:val="364"/>
        </w:trPr>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3,365</w:t>
            </w:r>
          </w:p>
        </w:tc>
        <w:tc>
          <w:tcPr>
            <w:tcW w:w="5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3,365</w:t>
            </w:r>
          </w:p>
        </w:tc>
      </w:tr>
      <w:tr>
        <w:trPr>
          <w:trHeight w:val="208"/>
        </w:trPr>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14,262</w:t>
            </w:r>
          </w:p>
        </w:tc>
        <w:tc>
          <w:tcPr>
            <w:tcW w:w="5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14,262</w:t>
            </w:r>
          </w:p>
        </w:tc>
      </w:tr>
      <w:tr>
        <w:trPr>
          <w:trHeight w:val="208"/>
        </w:trPr>
        <w:tc>
          <w:tcPr>
            <w:tcW w:w="780" w:type="dxa"/>
            <w:vAlign w:val="bottom"/>
          </w:tcPr>
          <w:p>
            <w:pPr>
              <w:jc w:val="right"/>
              <w:ind w:right="84"/>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1,840</w:t>
            </w:r>
          </w:p>
        </w:tc>
      </w:tr>
      <w:tr>
        <w:trPr>
          <w:trHeight w:val="208"/>
        </w:trPr>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306</w:t>
            </w:r>
          </w:p>
        </w:tc>
      </w:tr>
      <w:tr>
        <w:trPr>
          <w:trHeight w:val="208"/>
        </w:trPr>
        <w:tc>
          <w:tcPr>
            <w:tcW w:w="780" w:type="dxa"/>
            <w:vAlign w:val="bottom"/>
          </w:tcPr>
          <w:p>
            <w:pPr>
              <w:jc w:val="right"/>
              <w:ind w:right="84"/>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27,180</w:t>
            </w:r>
          </w:p>
        </w:tc>
      </w:tr>
      <w:tr>
        <w:trPr>
          <w:trHeight w:val="202"/>
        </w:trPr>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3"/>
              </w:rPr>
              <w:t>1,110,481</w:t>
            </w:r>
          </w:p>
        </w:tc>
        <w:tc>
          <w:tcPr>
            <w:tcW w:w="560" w:type="dxa"/>
            <w:vAlign w:val="bottom"/>
            <w:tcBorders>
              <w:top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80" w:type="dxa"/>
            <w:vAlign w:val="bottom"/>
          </w:tcPr>
          <w:p>
            <w:pPr>
              <w:spacing w:after="0"/>
              <w:rPr>
                <w:sz w:val="17"/>
                <w:szCs w:val="17"/>
                <w:color w:val="auto"/>
              </w:rPr>
            </w:pPr>
          </w:p>
        </w:tc>
        <w:tc>
          <w:tcPr>
            <w:tcW w:w="44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(226,147)</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885,846</w:t>
            </w:r>
          </w:p>
        </w:tc>
      </w:tr>
    </w:tbl>
    <w:p>
      <w:pPr>
        <w:spacing w:after="0" w:line="200" w:lineRule="exact"/>
        <w:rPr>
          <w:sz w:val="20"/>
          <w:szCs w:val="20"/>
          <w:color w:val="auto"/>
        </w:rPr>
      </w:pPr>
    </w:p>
    <w:p>
      <w:pPr>
        <w:sectPr>
          <w:pgSz w:w="11900" w:h="16838" w:orient="portrait"/>
          <w:cols w:equalWidth="0" w:num="2">
            <w:col w:w="5300" w:space="640"/>
            <w:col w:w="5260"/>
          </w:cols>
          <w:pgMar w:left="360" w:top="136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73025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60" w:top="1362" w:right="33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Krystal Biotech,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1"/>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153,431</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43,680</w:t>
            </w:r>
          </w:p>
        </w:tc>
      </w:tr>
      <w:tr>
        <w:trPr>
          <w:trHeight w:val="22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1"/>
        </w:trPr>
        <w:tc>
          <w:tcPr>
            <w:tcW w:w="7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Depreciation</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4,603</w:t>
            </w:r>
          </w:p>
        </w:tc>
      </w:tr>
      <w:tr>
        <w:trPr>
          <w:trHeight w:val="221"/>
        </w:trPr>
        <w:tc>
          <w:tcPr>
            <w:tcW w:w="7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Amortization (accretion) on marketable securities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w:t>
            </w:r>
          </w:p>
        </w:tc>
      </w:tr>
      <w:tr>
        <w:trPr>
          <w:trHeight w:val="221"/>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of operating lease right-of-use assets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r>
      <w:tr>
        <w:trPr>
          <w:trHeight w:val="221"/>
        </w:trPr>
        <w:tc>
          <w:tcPr>
            <w:tcW w:w="7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 net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35,771</w:t>
            </w:r>
          </w:p>
        </w:tc>
      </w:tr>
      <w:tr>
        <w:trPr>
          <w:trHeight w:val="221"/>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Realized gain on investments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w:t>
            </w:r>
          </w:p>
        </w:tc>
      </w:tr>
      <w:tr>
        <w:trPr>
          <w:trHeight w:val="221"/>
        </w:trPr>
        <w:tc>
          <w:tcPr>
            <w:tcW w:w="7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net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w:t>
            </w:r>
          </w:p>
        </w:tc>
      </w:tr>
      <w:tr>
        <w:trPr>
          <w:trHeight w:val="221"/>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1"/>
        </w:trPr>
        <w:tc>
          <w:tcPr>
            <w:tcW w:w="76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receivable, net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(55,257)</w:t>
            </w:r>
          </w:p>
        </w:tc>
      </w:tr>
      <w:tr>
        <w:trPr>
          <w:trHeight w:val="221"/>
        </w:trPr>
        <w:tc>
          <w:tcPr>
            <w:tcW w:w="7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Inventory</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(5,386)</w:t>
            </w:r>
          </w:p>
        </w:tc>
      </w:tr>
      <w:tr>
        <w:trPr>
          <w:trHeight w:val="221"/>
        </w:trPr>
        <w:tc>
          <w:tcPr>
            <w:tcW w:w="76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Prepaid taxes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r>
      <w:tr>
        <w:trPr>
          <w:trHeight w:val="221"/>
        </w:trPr>
        <w:tc>
          <w:tcPr>
            <w:tcW w:w="7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w:t>
            </w:r>
          </w:p>
        </w:tc>
      </w:tr>
      <w:tr>
        <w:trPr>
          <w:trHeight w:val="221"/>
        </w:trPr>
        <w:tc>
          <w:tcPr>
            <w:tcW w:w="76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Lease liability</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r>
      <w:tr>
        <w:trPr>
          <w:trHeight w:val="221"/>
        </w:trPr>
        <w:tc>
          <w:tcPr>
            <w:tcW w:w="7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r>
      <w:tr>
        <w:trPr>
          <w:trHeight w:val="221"/>
        </w:trPr>
        <w:tc>
          <w:tcPr>
            <w:tcW w:w="76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w:t>
            </w:r>
          </w:p>
        </w:tc>
      </w:tr>
      <w:tr>
        <w:trPr>
          <w:trHeight w:val="221"/>
        </w:trPr>
        <w:tc>
          <w:tcPr>
            <w:tcW w:w="7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w:t>
            </w:r>
          </w:p>
        </w:tc>
      </w:tr>
      <w:tr>
        <w:trPr>
          <w:trHeight w:val="221"/>
        </w:trPr>
        <w:tc>
          <w:tcPr>
            <w:tcW w:w="76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Accrued rebates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23,568</w:t>
            </w:r>
          </w:p>
        </w:tc>
      </w:tr>
      <w:tr>
        <w:trPr>
          <w:trHeight w:val="221"/>
        </w:trPr>
        <w:tc>
          <w:tcPr>
            <w:tcW w:w="7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Accrued litigation settlement</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(31,250)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31,250</w:t>
            </w:r>
          </w:p>
        </w:tc>
      </w:tr>
      <w:tr>
        <w:trPr>
          <w:trHeight w:val="214"/>
        </w:trPr>
        <w:tc>
          <w:tcPr>
            <w:tcW w:w="76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123,357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70,577</w:t>
            </w:r>
          </w:p>
        </w:tc>
      </w:tr>
      <w:tr>
        <w:trPr>
          <w:trHeight w:val="208"/>
        </w:trPr>
        <w:tc>
          <w:tcPr>
            <w:tcW w:w="7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1"/>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disposal of assets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(3,437)</w:t>
            </w:r>
          </w:p>
        </w:tc>
      </w:tr>
      <w:tr>
        <w:trPr>
          <w:trHeight w:val="22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available-for-sale securities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(314,268)</w:t>
            </w:r>
          </w:p>
        </w:tc>
      </w:tr>
      <w:tr>
        <w:trPr>
          <w:trHeight w:val="221"/>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Maturities of available-for-sale securities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289,875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238,044</w:t>
            </w:r>
          </w:p>
        </w:tc>
      </w:tr>
      <w:tr>
        <w:trPr>
          <w:trHeight w:val="214"/>
        </w:trPr>
        <w:tc>
          <w:tcPr>
            <w:tcW w:w="7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(69,580)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(79,661)</w:t>
            </w:r>
          </w:p>
        </w:tc>
      </w:tr>
      <w:tr>
        <w:trPr>
          <w:trHeight w:val="208"/>
        </w:trPr>
        <w:tc>
          <w:tcPr>
            <w:tcW w:w="7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1"/>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29,972</w:t>
            </w:r>
          </w:p>
        </w:tc>
      </w:tr>
      <w:tr>
        <w:trPr>
          <w:trHeight w:val="22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Taxes paid for employee tax withholding related to restricted stock units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(4,181)</w:t>
            </w:r>
          </w:p>
        </w:tc>
      </w:tr>
      <w:tr>
        <w:trPr>
          <w:trHeight w:val="221"/>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Taxes paid related to settlement of restricted stock awards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(1,205)</w:t>
            </w:r>
          </w:p>
        </w:tc>
      </w:tr>
      <w:tr>
        <w:trPr>
          <w:trHeight w:val="214"/>
        </w:trPr>
        <w:tc>
          <w:tcPr>
            <w:tcW w:w="7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24,586</w:t>
            </w:r>
          </w:p>
        </w:tc>
      </w:tr>
      <w:tr>
        <w:trPr>
          <w:trHeight w:val="208"/>
        </w:trPr>
        <w:tc>
          <w:tcPr>
            <w:tcW w:w="7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188"/>
        </w:trPr>
        <w:tc>
          <w:tcPr>
            <w:tcW w:w="7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1"/>
        </w:trPr>
        <w:tc>
          <w:tcPr>
            <w:tcW w:w="7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15,638</w:t>
            </w:r>
          </w:p>
        </w:tc>
      </w:tr>
      <w:tr>
        <w:trPr>
          <w:trHeight w:val="208"/>
        </w:trPr>
        <w:tc>
          <w:tcPr>
            <w:tcW w:w="7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344,865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358,328</w:t>
            </w:r>
          </w:p>
        </w:tc>
      </w:tr>
      <w:tr>
        <w:trPr>
          <w:trHeight w:val="214"/>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392,604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373,966</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4"/>
        </w:trPr>
        <w:tc>
          <w:tcPr>
            <w:tcW w:w="7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21"/>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Activities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1"/>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Unpaid purchases of property and equipment included in accounts payable and accrued expenses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8,292</w:t>
            </w:r>
          </w:p>
        </w:tc>
      </w:tr>
      <w:tr>
        <w:trPr>
          <w:trHeight w:val="221"/>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Initial recognition of right-of-use assets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7"/>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paid</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13,876</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5,150</w:t>
            </w:r>
          </w:p>
        </w:tc>
      </w:tr>
    </w:tbl>
    <w:p>
      <w:pPr>
        <w:spacing w:after="0" w:line="27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73025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3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Krystal Biotech,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Organization</w:t>
      </w:r>
    </w:p>
    <w:p>
      <w:pPr>
        <w:spacing w:after="0" w:line="119" w:lineRule="exact"/>
        <w:rPr>
          <w:sz w:val="20"/>
          <w:szCs w:val="20"/>
          <w:color w:val="auto"/>
        </w:rPr>
      </w:pPr>
    </w:p>
    <w:p>
      <w:pPr>
        <w:jc w:val="both"/>
        <w:ind w:firstLine="625"/>
        <w:spacing w:after="0" w:line="264" w:lineRule="auto"/>
        <w:rPr>
          <w:sz w:val="20"/>
          <w:szCs w:val="20"/>
          <w:color w:val="auto"/>
        </w:rPr>
      </w:pPr>
      <w:r>
        <w:rPr>
          <w:rFonts w:ascii="Times New Roman" w:cs="Times New Roman" w:eastAsia="Times New Roman" w:hAnsi="Times New Roman"/>
          <w:sz w:val="17"/>
          <w:szCs w:val="17"/>
          <w:color w:val="auto"/>
        </w:rPr>
        <w:t>Krystal Biotech, Inc. (the “Company,” or “we” or other similar pronouns) commenced operations in April 2016. In March 2017, we converted from a California limited liability company to a Delaware C-corporation, and changed our name from Krystal Biotech LLC to Krystal Biotech, Inc. In April 2019, we incorporated Jeune Aesthetics, Inc. (“Jeune Aesthetics”), a wholly-owned subsidiary, in Delaware, for the purpose of undertaking preclinical and clinical studies for aesthetic skin conditions. In January 2022, August 2022, December 2022, August 2023, March 2024, November 2024, December 2024 and July 2025 we incorporated wholly-owned subsidiaries in Switzerland, Netherlands, France, Germany, Japan, Italy, Spain, and the UK, respectively, for the purpose of establishing operations in Europe and Japan for the commercialization of VYJUVEK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our product pipeline.</w:t>
      </w:r>
    </w:p>
    <w:p>
      <w:pPr>
        <w:spacing w:after="0" w:line="1" w:lineRule="exact"/>
        <w:rPr>
          <w:sz w:val="20"/>
          <w:szCs w:val="20"/>
          <w:color w:val="auto"/>
        </w:rPr>
      </w:pPr>
    </w:p>
    <w:p>
      <w:pPr>
        <w:jc w:val="both"/>
        <w:ind w:firstLine="625"/>
        <w:spacing w:after="0" w:line="263" w:lineRule="auto"/>
        <w:rPr>
          <w:sz w:val="20"/>
          <w:szCs w:val="20"/>
          <w:color w:val="auto"/>
        </w:rPr>
      </w:pPr>
      <w:r>
        <w:rPr>
          <w:rFonts w:ascii="Times New Roman" w:cs="Times New Roman" w:eastAsia="Times New Roman" w:hAnsi="Times New Roman"/>
          <w:sz w:val="17"/>
          <w:szCs w:val="17"/>
          <w:color w:val="auto"/>
        </w:rPr>
        <w:t>We are a fully integrated, commercial-stage, global biotechnology company focused on the discovery, development, manufacturing, and commercialization of genetic medicines to treat diseases with high unmet medical needs. Using our patented gene therapy technology platform that is based on engineered herpes simplex virus-1 (“HSV-1”), we create vectors that efficiently deliver therapeutic transgenes to cells of interest in multiple organ systems. The cell’s own machinery then transcribes and translates the transgene to treat the disease. Our vectors are amenable to formulation for non-invasive or minimally invasive routes of administration at a healthcare professional’s office or in the patient’s home. Our innovative technology platform is supported by two in-house, commercial scale Current Good Manufacturing Practice (“CGMP”) manufacturing facilities.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121" w:lineRule="exact"/>
        <w:rPr>
          <w:sz w:val="20"/>
          <w:szCs w:val="20"/>
          <w:color w:val="auto"/>
        </w:rPr>
      </w:pPr>
    </w:p>
    <w:p>
      <w:pPr>
        <w:jc w:val="both"/>
        <w:ind w:firstLine="625"/>
        <w:spacing w:after="0" w:line="265" w:lineRule="auto"/>
        <w:rPr>
          <w:sz w:val="20"/>
          <w:szCs w:val="20"/>
          <w:color w:val="auto"/>
        </w:rPr>
      </w:pPr>
      <w:r>
        <w:rPr>
          <w:rFonts w:ascii="Times New Roman" w:cs="Times New Roman" w:eastAsia="Times New Roman" w:hAnsi="Times New Roman"/>
          <w:sz w:val="17"/>
          <w:szCs w:val="17"/>
          <w:color w:val="auto"/>
        </w:rPr>
        <w:t>As of September 30, 2025, the Company had an accumulated deficit of $27.2 million. Our operating profitability is dependent upon the continued successful commercialization of VYJUVEK, our U.S. Food and Drug Administration (“FDA”), European Commission (“EC”), and Japan’s Ministry of Health, Labour, and Welfare (“MHLW”) approved product, as well as successful development, approval and commercialization of our product candidates. Management intends to fund future operations through its on hand cash and cash equivalents and revenue generated from the sale of VYJUVEK, and may also seek additional capital through arrangements with strategic partners, the sale of equity, debt financings or other sources.</w:t>
      </w:r>
    </w:p>
    <w:p>
      <w:pPr>
        <w:spacing w:after="0" w:line="67" w:lineRule="exact"/>
        <w:rPr>
          <w:sz w:val="20"/>
          <w:szCs w:val="20"/>
          <w:color w:val="auto"/>
        </w:rPr>
      </w:pPr>
    </w:p>
    <w:p>
      <w:pPr>
        <w:jc w:val="both"/>
        <w:ind w:firstLine="625"/>
        <w:spacing w:after="0" w:line="262" w:lineRule="auto"/>
        <w:rPr>
          <w:sz w:val="20"/>
          <w:szCs w:val="20"/>
          <w:color w:val="auto"/>
        </w:rPr>
      </w:pPr>
      <w:r>
        <w:rPr>
          <w:rFonts w:ascii="Times New Roman" w:cs="Times New Roman" w:eastAsia="Times New Roman" w:hAnsi="Times New Roman"/>
          <w:sz w:val="17"/>
          <w:szCs w:val="17"/>
          <w:color w:val="auto"/>
        </w:rPr>
        <w:t>The Company is subject to risks common to companies in the biotechnology industry, including but not limited to the failure of product candidates in clinical and preclinical studies, the development of competing product candidates or other technological innovations by competitors, dependence on key personnel, protection of proprietary technology, compliance with government regulations and the ability to commercialize product candidates. The Company expects to incur significant costs to further its pipeline and to expand its commercialization capabilities in advance of further potential global regulatory and reimbursement approvals of VYJUVEK. The Company believes that its cash, cash equivalents and short-term investments of approximately $731.1 million as of September 30, 2025 will be sufficient to allow the Company to fund its planned operations for at least the next 12 months from the date of this Quarterly Report on Form 10-Q.</w:t>
      </w:r>
    </w:p>
    <w:p>
      <w:pPr>
        <w:spacing w:after="0" w:line="28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Summary of Significant Accounting Policies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1"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in conformity with generally accepted accounting principles in the United States of America (“GAAP”). In the opinion of management, all adjustments, which consist of all normal recurring adjustments necessary for a fair presentation of the Company’s financial position and results of operations for the interim periods presented, are reflected in the interim condensed consolidated financial statements. All intercompany balances and transactions have been eliminated in consolidation.</w:t>
      </w:r>
    </w:p>
    <w:p>
      <w:pPr>
        <w:spacing w:after="0" w:line="65"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Certain prior period amounts have been reclassified to conform to the current period presentation. The reclassified amounts have no impact on the Company’s previously reported financial position or results of operations.</w:t>
      </w:r>
    </w:p>
    <w:p>
      <w:pPr>
        <w:spacing w:after="0" w:line="42"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The results of operations for the interim periods are not necessarily indicative of the results of operations to be expected for the full year. These unaudited condensed consolidated financial statements should be read in conjunction with the Company’s audited consolidated financial statements and the notes thereto included in the Company’s Annual Report on Form 10-K for the fiscal year ended December 31, 2024 (the “2024 10-K”), as filed with the U.S. Securities and Exchange Commission (“SEC”) on February 19, 2025.</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1"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GAAP requires management to make estimates and assumptions that affect the reported amounts in the condensed consolidated financial statements and</w:t>
      </w:r>
    </w:p>
    <w:p>
      <w:pPr>
        <w:spacing w:after="0" w:line="200" w:lineRule="exact"/>
        <w:rPr>
          <w:sz w:val="20"/>
          <w:szCs w:val="20"/>
          <w:color w:val="auto"/>
        </w:rPr>
      </w:pPr>
    </w:p>
    <w:p>
      <w:pPr>
        <w:spacing w:after="0" w:line="27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7"/>
          <w:szCs w:val="17"/>
          <w:color w:val="auto"/>
        </w:rPr>
        <w:t>accompanying notes. Actual results could materially differ from those estimates. 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If actual results in the future vary from the Company’s estimates, the Company will adjust these estimates in the period these variances become known. Estimates are used in the following areas, among others: variable consideration associated with revenue recognition, stock-based compensation expense, accrued expenses, and income taxes.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of Significant Accounting Policies</w:t>
      </w:r>
    </w:p>
    <w:p>
      <w:pPr>
        <w:spacing w:after="0" w:line="121"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See Note 2 to our consolidated financial statements included in the 2024 10-K. There were no material changes to the Company’s significant accounting policies during the nine months ended September 30, 2025.</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121"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There were no accounting pronouncements issued or adopted during the nine months ended September 30, 2025 that had or are expected to have a material impact on the Company’s condensed consolidated financial statements.</w:t>
      </w:r>
    </w:p>
    <w:p>
      <w:pPr>
        <w:spacing w:after="0" w:line="40" w:lineRule="exact"/>
        <w:rPr>
          <w:sz w:val="20"/>
          <w:szCs w:val="20"/>
          <w:color w:val="auto"/>
        </w:rPr>
      </w:pPr>
    </w:p>
    <w:p>
      <w:pPr>
        <w:jc w:val="both"/>
        <w:ind w:firstLine="625"/>
        <w:spacing w:after="0" w:line="266"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ASU 2023-09 </w:t>
      </w:r>
      <w:r>
        <w:rPr>
          <w:rFonts w:ascii="Times New Roman" w:cs="Times New Roman" w:eastAsia="Times New Roman" w:hAnsi="Times New Roman"/>
          <w:sz w:val="17"/>
          <w:szCs w:val="17"/>
          <w:i w:val="1"/>
          <w:iCs w:val="1"/>
          <w:color w:val="auto"/>
        </w:rPr>
        <w:t>Income Taxes (Topic 740): Improvements to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Disclosures</w:t>
      </w:r>
      <w:r>
        <w:rPr>
          <w:rFonts w:ascii="Times New Roman" w:cs="Times New Roman" w:eastAsia="Times New Roman" w:hAnsi="Times New Roman"/>
          <w:sz w:val="17"/>
          <w:szCs w:val="17"/>
          <w:color w:val="auto"/>
        </w:rPr>
        <w:t>. The purpose of this guidance is to enhance the transparency and usefulness of income tax disclosures and provide comprehensive income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particularly in relation to rate reconciliation and income taxes paid in the U.S. and foreign jurisdictions. This new standard is effective for fiscal years beginning after December 15, 2024, with the option to apply it retrospectively. Currently, the Company is assessing the potential impact of this guidance on its consolidated financial statement disclosures.</w:t>
      </w:r>
    </w:p>
    <w:p>
      <w:pPr>
        <w:spacing w:after="0" w:line="63" w:lineRule="exact"/>
        <w:rPr>
          <w:sz w:val="20"/>
          <w:szCs w:val="20"/>
          <w:color w:val="auto"/>
        </w:rPr>
      </w:pPr>
    </w:p>
    <w:p>
      <w:pPr>
        <w:jc w:val="both"/>
        <w:ind w:firstLine="625"/>
        <w:spacing w:after="0" w:line="269" w:lineRule="auto"/>
        <w:rPr>
          <w:sz w:val="20"/>
          <w:szCs w:val="20"/>
          <w:color w:val="auto"/>
        </w:rPr>
      </w:pPr>
      <w:r>
        <w:rPr>
          <w:rFonts w:ascii="Times New Roman" w:cs="Times New Roman" w:eastAsia="Times New Roman" w:hAnsi="Times New Roman"/>
          <w:sz w:val="17"/>
          <w:szCs w:val="17"/>
          <w:color w:val="auto"/>
        </w:rPr>
        <w:t xml:space="preserve">In November 2024, the FASB issued </w:t>
      </w:r>
      <w:r>
        <w:rPr>
          <w:rFonts w:ascii="Times New Roman" w:cs="Times New Roman" w:eastAsia="Times New Roman" w:hAnsi="Times New Roman"/>
          <w:sz w:val="17"/>
          <w:szCs w:val="17"/>
          <w:i w:val="1"/>
          <w:iCs w:val="1"/>
          <w:color w:val="auto"/>
        </w:rPr>
        <w:t>ASU 2024-03 Income Statement—Reporting Comprehensive Income—Expense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220-40): Disaggregation of Income Statement Expenses. </w:t>
      </w:r>
      <w:r>
        <w:rPr>
          <w:rFonts w:ascii="Times New Roman" w:cs="Times New Roman" w:eastAsia="Times New Roman" w:hAnsi="Times New Roman"/>
          <w:sz w:val="17"/>
          <w:szCs w:val="17"/>
          <w:color w:val="auto"/>
        </w:rPr>
        <w:t>This standard calls for enhanced disclosures about components of expense captions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face of the income statement. This standard will be effective for fiscal years beginning after December 15, 2026, with the option to apply it retrospectively. Early adoption is allowed. Currently, the Company is assessing the potential impact of this guidance on its consolidated financial statement disclosures.</w:t>
      </w:r>
    </w:p>
    <w:p>
      <w:pPr>
        <w:spacing w:after="0" w:line="6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Product Revenue, Accounts Receivable and Reserves for Product Sales</w:t>
      </w:r>
    </w:p>
    <w:p>
      <w:pPr>
        <w:spacing w:after="0" w:line="119"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The Company’s product revenue, net of sales discounts and allowances totaled $97.8 million and $83.8 million for the three months ended September 30, 2025 and September 30, 2024, respectively, and $282.0 million and $199.4 million for the nine months ended September 30, 2025 and September 30, 2024, respectively.</w:t>
      </w:r>
    </w:p>
    <w:p>
      <w:pPr>
        <w:spacing w:after="0" w:line="294"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The Company’s accounts receivable, net balance relating to VYJUVEK sales was $129.6 million as of September 30, 2025 and $104.7 million as of December 31, 2024. Accounts receivable, net from the Company’s customers who individually accounted for 10% or more of accounts receivable, net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60" w:type="dxa"/>
            <w:vAlign w:val="bottom"/>
          </w:tcPr>
          <w:p>
            <w:pPr>
              <w:spacing w:after="0"/>
              <w:rPr>
                <w:sz w:val="19"/>
                <w:szCs w:val="19"/>
                <w:color w:val="auto"/>
              </w:rPr>
            </w:pPr>
          </w:p>
        </w:tc>
        <w:tc>
          <w:tcPr>
            <w:tcW w:w="3820" w:type="dxa"/>
            <w:vAlign w:val="bottom"/>
            <w:gridSpan w:val="2"/>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Percent of Accounts Receivable, Net</w:t>
            </w:r>
          </w:p>
        </w:tc>
        <w:tc>
          <w:tcPr>
            <w:tcW w:w="460" w:type="dxa"/>
            <w:vAlign w:val="bottom"/>
          </w:tcPr>
          <w:p>
            <w:pPr>
              <w:spacing w:after="0"/>
              <w:rPr>
                <w:sz w:val="19"/>
                <w:szCs w:val="19"/>
                <w:color w:val="auto"/>
              </w:rPr>
            </w:pPr>
          </w:p>
        </w:tc>
      </w:tr>
      <w:tr>
        <w:trPr>
          <w:trHeight w:val="177"/>
        </w:trPr>
        <w:tc>
          <w:tcPr>
            <w:tcW w:w="6160" w:type="dxa"/>
            <w:vAlign w:val="bottom"/>
          </w:tcPr>
          <w:p>
            <w:pPr>
              <w:spacing w:after="0"/>
              <w:rPr>
                <w:sz w:val="15"/>
                <w:szCs w:val="15"/>
                <w:color w:val="auto"/>
              </w:rPr>
            </w:pPr>
          </w:p>
        </w:tc>
        <w:tc>
          <w:tcPr>
            <w:tcW w:w="1680" w:type="dxa"/>
            <w:vAlign w:val="bottom"/>
          </w:tcPr>
          <w:p>
            <w:pPr>
              <w:jc w:val="center"/>
              <w:ind w:left="373"/>
              <w:spacing w:after="0" w:line="176"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2140" w:type="dxa"/>
            <w:vAlign w:val="bottom"/>
          </w:tcPr>
          <w:p>
            <w:pPr>
              <w:jc w:val="right"/>
              <w:ind w:right="13"/>
              <w:spacing w:after="0" w:line="176"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460" w:type="dxa"/>
            <w:vAlign w:val="bottom"/>
          </w:tcPr>
          <w:p>
            <w:pPr>
              <w:spacing w:after="0"/>
              <w:rPr>
                <w:sz w:val="15"/>
                <w:szCs w:val="15"/>
                <w:color w:val="auto"/>
              </w:rPr>
            </w:pPr>
          </w:p>
        </w:tc>
      </w:tr>
      <w:tr>
        <w:trPr>
          <w:trHeight w:val="232"/>
        </w:trPr>
        <w:tc>
          <w:tcPr>
            <w:tcW w:w="7840" w:type="dxa"/>
            <w:vAlign w:val="bottom"/>
            <w:gridSpan w:val="2"/>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14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Pr>
          <w:p>
            <w:pPr>
              <w:spacing w:after="0"/>
              <w:rPr>
                <w:sz w:val="20"/>
                <w:szCs w:val="20"/>
                <w:color w:val="auto"/>
              </w:rPr>
            </w:pPr>
          </w:p>
        </w:tc>
      </w:tr>
      <w:tr>
        <w:trPr>
          <w:trHeight w:val="217"/>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A</w:t>
            </w:r>
          </w:p>
        </w:tc>
        <w:tc>
          <w:tcPr>
            <w:tcW w:w="168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1613"/>
              <w:spacing w:after="0"/>
              <w:rPr>
                <w:sz w:val="20"/>
                <w:szCs w:val="20"/>
                <w:color w:val="auto"/>
              </w:rPr>
            </w:pPr>
            <w:r>
              <w:rPr>
                <w:rFonts w:ascii="Times New Roman" w:cs="Times New Roman" w:eastAsia="Times New Roman" w:hAnsi="Times New Roman"/>
                <w:sz w:val="17"/>
                <w:szCs w:val="17"/>
                <w:color w:val="auto"/>
              </w:rPr>
              <w:t>71 %</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r>
      <w:tr>
        <w:trPr>
          <w:trHeight w:val="227"/>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Customer B</w:t>
            </w:r>
          </w:p>
        </w:tc>
        <w:tc>
          <w:tcPr>
            <w:tcW w:w="2140" w:type="dxa"/>
            <w:vAlign w:val="bottom"/>
          </w:tcPr>
          <w:p>
            <w:pPr>
              <w:jc w:val="right"/>
              <w:ind w:right="1613"/>
              <w:spacing w:after="0"/>
              <w:rPr>
                <w:sz w:val="20"/>
                <w:szCs w:val="20"/>
                <w:color w:val="auto"/>
              </w:rPr>
            </w:pPr>
            <w:r>
              <w:rPr>
                <w:rFonts w:ascii="Times New Roman" w:cs="Times New Roman" w:eastAsia="Times New Roman" w:hAnsi="Times New Roman"/>
                <w:sz w:val="17"/>
                <w:szCs w:val="17"/>
                <w:color w:val="auto"/>
              </w:rPr>
              <w:t>16 %</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r>
    </w:tbl>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other single customers represent less than 10% of outstanding accounts receivable, net in the applicable period.</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changes in allowances and discounts for the nine months ended September 30, 2025: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60" w:type="dxa"/>
            <w:vAlign w:val="bottom"/>
          </w:tcPr>
          <w:p>
            <w:pPr>
              <w:spacing w:after="0"/>
              <w:rPr>
                <w:sz w:val="19"/>
                <w:szCs w:val="19"/>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Rebates</w:t>
            </w:r>
          </w:p>
        </w:tc>
        <w:tc>
          <w:tcPr>
            <w:tcW w:w="280" w:type="dxa"/>
            <w:vAlign w:val="bottom"/>
          </w:tcPr>
          <w:p>
            <w:pPr>
              <w:spacing w:after="0"/>
              <w:rPr>
                <w:sz w:val="19"/>
                <w:szCs w:val="19"/>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Prompt Pay</w:t>
            </w:r>
          </w:p>
        </w:tc>
        <w:tc>
          <w:tcPr>
            <w:tcW w:w="240" w:type="dxa"/>
            <w:vAlign w:val="bottom"/>
          </w:tcPr>
          <w:p>
            <w:pPr>
              <w:spacing w:after="0"/>
              <w:rPr>
                <w:sz w:val="19"/>
                <w:szCs w:val="19"/>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 Accruals</w:t>
            </w:r>
          </w:p>
        </w:tc>
        <w:tc>
          <w:tcPr>
            <w:tcW w:w="420" w:type="dxa"/>
            <w:vAlign w:val="bottom"/>
          </w:tcPr>
          <w:p>
            <w:pPr>
              <w:spacing w:after="0"/>
              <w:rPr>
                <w:sz w:val="19"/>
                <w:szCs w:val="19"/>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2024</w:t>
            </w: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center"/>
              <w:ind w:left="695"/>
              <w:spacing w:after="0"/>
              <w:rPr>
                <w:sz w:val="20"/>
                <w:szCs w:val="20"/>
                <w:color w:val="auto"/>
              </w:rPr>
            </w:pPr>
            <w:r>
              <w:rPr>
                <w:rFonts w:ascii="Times New Roman" w:cs="Times New Roman" w:eastAsia="Times New Roman" w:hAnsi="Times New Roman"/>
                <w:sz w:val="17"/>
                <w:szCs w:val="17"/>
                <w:color w:val="auto"/>
              </w:rPr>
              <w:t>38,223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center"/>
              <w:ind w:left="835"/>
              <w:spacing w:after="0"/>
              <w:rPr>
                <w:sz w:val="20"/>
                <w:szCs w:val="20"/>
                <w:color w:val="auto"/>
              </w:rPr>
            </w:pPr>
            <w:r>
              <w:rPr>
                <w:rFonts w:ascii="Times New Roman" w:cs="Times New Roman" w:eastAsia="Times New Roman" w:hAnsi="Times New Roman"/>
                <w:sz w:val="17"/>
                <w:szCs w:val="17"/>
                <w:color w:val="auto"/>
                <w:w w:val="99"/>
              </w:rPr>
              <w:t>2,570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center"/>
              <w:ind w:left="1055"/>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center"/>
              <w:ind w:left="655"/>
              <w:spacing w:after="0"/>
              <w:rPr>
                <w:sz w:val="20"/>
                <w:szCs w:val="20"/>
                <w:color w:val="auto"/>
              </w:rPr>
            </w:pPr>
            <w:r>
              <w:rPr>
                <w:rFonts w:ascii="Times New Roman" w:cs="Times New Roman" w:eastAsia="Times New Roman" w:hAnsi="Times New Roman"/>
                <w:sz w:val="17"/>
                <w:szCs w:val="17"/>
                <w:color w:val="auto"/>
              </w:rPr>
              <w:t>41,119</w:t>
            </w:r>
          </w:p>
        </w:tc>
      </w:tr>
      <w:tr>
        <w:trPr>
          <w:trHeight w:val="221"/>
        </w:trPr>
        <w:tc>
          <w:tcPr>
            <w:tcW w:w="3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Provisions</w:t>
            </w:r>
          </w:p>
        </w:tc>
        <w:tc>
          <w:tcPr>
            <w:tcW w:w="360" w:type="dxa"/>
            <w:vAlign w:val="bottom"/>
          </w:tcPr>
          <w:p>
            <w:pPr>
              <w:spacing w:after="0"/>
              <w:rPr>
                <w:sz w:val="19"/>
                <w:szCs w:val="19"/>
                <w:color w:val="auto"/>
              </w:rPr>
            </w:pPr>
          </w:p>
        </w:tc>
        <w:tc>
          <w:tcPr>
            <w:tcW w:w="138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rPr>
              <w:t>48,360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center"/>
              <w:ind w:left="835"/>
              <w:spacing w:after="0"/>
              <w:rPr>
                <w:sz w:val="20"/>
                <w:szCs w:val="20"/>
                <w:color w:val="auto"/>
              </w:rPr>
            </w:pPr>
            <w:r>
              <w:rPr>
                <w:rFonts w:ascii="Times New Roman" w:cs="Times New Roman" w:eastAsia="Times New Roman" w:hAnsi="Times New Roman"/>
                <w:sz w:val="17"/>
                <w:szCs w:val="17"/>
                <w:color w:val="auto"/>
                <w:w w:val="99"/>
              </w:rPr>
              <w:t>9,883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center"/>
              <w:ind w:left="1055"/>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center"/>
              <w:ind w:left="655"/>
              <w:spacing w:after="0"/>
              <w:rPr>
                <w:sz w:val="20"/>
                <w:szCs w:val="20"/>
                <w:color w:val="auto"/>
              </w:rPr>
            </w:pPr>
            <w:r>
              <w:rPr>
                <w:rFonts w:ascii="Times New Roman" w:cs="Times New Roman" w:eastAsia="Times New Roman" w:hAnsi="Times New Roman"/>
                <w:sz w:val="17"/>
                <w:szCs w:val="17"/>
                <w:color w:val="auto"/>
              </w:rPr>
              <w:t>58,629</w:t>
            </w:r>
          </w:p>
        </w:tc>
      </w:tr>
      <w:tr>
        <w:trPr>
          <w:trHeight w:val="221"/>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Payments/Credits</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675"/>
              <w:spacing w:after="0"/>
              <w:rPr>
                <w:sz w:val="20"/>
                <w:szCs w:val="20"/>
                <w:color w:val="auto"/>
              </w:rPr>
            </w:pPr>
            <w:r>
              <w:rPr>
                <w:rFonts w:ascii="Times New Roman" w:cs="Times New Roman" w:eastAsia="Times New Roman" w:hAnsi="Times New Roman"/>
                <w:sz w:val="17"/>
                <w:szCs w:val="17"/>
                <w:color w:val="auto"/>
                <w:w w:val="99"/>
              </w:rPr>
              <w:t>(27,677)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ind w:left="815"/>
              <w:spacing w:after="0"/>
              <w:rPr>
                <w:sz w:val="20"/>
                <w:szCs w:val="20"/>
                <w:color w:val="auto"/>
              </w:rPr>
            </w:pPr>
            <w:r>
              <w:rPr>
                <w:rFonts w:ascii="Times New Roman" w:cs="Times New Roman" w:eastAsia="Times New Roman" w:hAnsi="Times New Roman"/>
                <w:sz w:val="17"/>
                <w:szCs w:val="17"/>
                <w:color w:val="auto"/>
              </w:rPr>
              <w:t>(8,610)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center"/>
              <w:ind w:left="1015"/>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615"/>
              <w:spacing w:after="0"/>
              <w:rPr>
                <w:sz w:val="20"/>
                <w:szCs w:val="20"/>
                <w:color w:val="auto"/>
              </w:rPr>
            </w:pPr>
            <w:r>
              <w:rPr>
                <w:rFonts w:ascii="Times New Roman" w:cs="Times New Roman" w:eastAsia="Times New Roman" w:hAnsi="Times New Roman"/>
                <w:sz w:val="17"/>
                <w:szCs w:val="17"/>
                <w:color w:val="auto"/>
              </w:rPr>
              <w:t>(36,658)</w:t>
            </w:r>
          </w:p>
        </w:tc>
      </w:tr>
      <w:tr>
        <w:trPr>
          <w:trHeight w:val="214"/>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2025</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center"/>
              <w:ind w:left="695"/>
              <w:spacing w:after="0"/>
              <w:rPr>
                <w:sz w:val="20"/>
                <w:szCs w:val="20"/>
                <w:color w:val="auto"/>
              </w:rPr>
            </w:pPr>
            <w:r>
              <w:rPr>
                <w:rFonts w:ascii="Times New Roman" w:cs="Times New Roman" w:eastAsia="Times New Roman" w:hAnsi="Times New Roman"/>
                <w:sz w:val="17"/>
                <w:szCs w:val="17"/>
                <w:color w:val="auto"/>
              </w:rPr>
              <w:t>58,906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center"/>
              <w:ind w:left="835"/>
              <w:spacing w:after="0"/>
              <w:rPr>
                <w:sz w:val="20"/>
                <w:szCs w:val="20"/>
                <w:color w:val="auto"/>
              </w:rPr>
            </w:pPr>
            <w:r>
              <w:rPr>
                <w:rFonts w:ascii="Times New Roman" w:cs="Times New Roman" w:eastAsia="Times New Roman" w:hAnsi="Times New Roman"/>
                <w:sz w:val="17"/>
                <w:szCs w:val="17"/>
                <w:color w:val="auto"/>
                <w:w w:val="99"/>
              </w:rPr>
              <w:t>3,843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center"/>
              <w:ind w:left="1055"/>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center"/>
              <w:ind w:left="655"/>
              <w:spacing w:after="0"/>
              <w:rPr>
                <w:sz w:val="20"/>
                <w:szCs w:val="20"/>
                <w:color w:val="auto"/>
              </w:rPr>
            </w:pPr>
            <w:r>
              <w:rPr>
                <w:rFonts w:ascii="Times New Roman" w:cs="Times New Roman" w:eastAsia="Times New Roman" w:hAnsi="Times New Roman"/>
                <w:sz w:val="17"/>
                <w:szCs w:val="17"/>
                <w:color w:val="auto"/>
              </w:rPr>
              <w:t>63,090</w:t>
            </w:r>
          </w:p>
        </w:tc>
      </w:tr>
      <w:tr>
        <w:trPr>
          <w:trHeight w:val="20"/>
        </w:trPr>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Rebates are included in accrued rebates and other long-term liabilities on the condensed consolidated balance sheets. Other long-term liabilities are comprised of $3.1 million and $1.4 million of long-term accrued rebates as of September 30, 2025 and December 31, 2024, respectively. Prompt pay is recorded as an allowance against accounts receivable, net on the</w:t>
      </w:r>
    </w:p>
    <w:p>
      <w:pPr>
        <w:spacing w:after="0" w:line="200" w:lineRule="exact"/>
        <w:rPr>
          <w:sz w:val="20"/>
          <w:szCs w:val="20"/>
          <w:color w:val="auto"/>
        </w:rPr>
      </w:pPr>
    </w:p>
    <w:p>
      <w:pPr>
        <w:spacing w:after="0" w:line="29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9" w:name="page10"/>
    <w:bookmarkEnd w:id="9"/>
    <w:p>
      <w:pPr>
        <w:jc w:val="both"/>
        <w:spacing w:after="0" w:line="274" w:lineRule="auto"/>
        <w:rPr>
          <w:sz w:val="20"/>
          <w:szCs w:val="20"/>
          <w:color w:val="auto"/>
        </w:rPr>
      </w:pPr>
      <w:r>
        <w:rPr>
          <w:rFonts w:ascii="Times New Roman" w:cs="Times New Roman" w:eastAsia="Times New Roman" w:hAnsi="Times New Roman"/>
          <w:sz w:val="17"/>
          <w:szCs w:val="17"/>
          <w:color w:val="auto"/>
        </w:rPr>
        <w:t>condensed consolidated balance sheets. Other accruals are included in accrued expenses and other current liabilities on the condensed consolidated balance sheets. Provisions for rebates, prompt pay and other accruals are recorded as a reduction to product revenue, net on the condensed consolidated statements of operations and comprehensive income.</w:t>
      </w:r>
    </w:p>
    <w:p>
      <w:pPr>
        <w:spacing w:after="0" w:line="5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Net Income Per Share Attributable to Common Stockholders</w:t>
      </w:r>
    </w:p>
    <w:p>
      <w:pPr>
        <w:spacing w:after="0" w:line="119" w:lineRule="exact"/>
        <w:rPr>
          <w:sz w:val="20"/>
          <w:szCs w:val="20"/>
          <w:color w:val="auto"/>
        </w:rPr>
      </w:pPr>
    </w:p>
    <w:p>
      <w:pPr>
        <w:jc w:val="both"/>
        <w:ind w:firstLine="625"/>
        <w:spacing w:after="0" w:line="265" w:lineRule="auto"/>
        <w:rPr>
          <w:sz w:val="20"/>
          <w:szCs w:val="20"/>
          <w:color w:val="auto"/>
        </w:rPr>
      </w:pPr>
      <w:r>
        <w:rPr>
          <w:rFonts w:ascii="Times New Roman" w:cs="Times New Roman" w:eastAsia="Times New Roman" w:hAnsi="Times New Roman"/>
          <w:sz w:val="17"/>
          <w:szCs w:val="17"/>
          <w:color w:val="auto"/>
        </w:rPr>
        <w:t>Basic net income per share attributable to common stockholders is calculated by dividing net income attributable to common stockholders by the weighted-average shares outstanding during the period, without consideration for common stock equivalents. Diluted net income per share attributable to common stockholders is computed by dividing the net income by the weighted-average number of shares of common stock and common stock equivalents outstanding for the period. Common stock equivalents consist of common stock issuable upon (1) exercise of stock options and (2) vesting of restricted stock awards, restricted stock units and performance-based restricted stock units (collectively, “restricted stock”).</w:t>
      </w:r>
    </w:p>
    <w:p>
      <w:pPr>
        <w:spacing w:after="0" w:line="67"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For the three months ended September 30, 2025 and 2024, respectively, there were 664 thousand and 229 thousand common stock equivalents outstanding in the form of stock options and 125 thousand and zero in unvested restricted stock, that have been excluded from the calculation of diluted net income per common share as their effect would be anti-dilutive.</w:t>
      </w:r>
    </w:p>
    <w:p>
      <w:pPr>
        <w:spacing w:after="0" w:line="60"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For the nine months ended September 30, 2025 and 2024, respectively, there were 568 thousand and 207 thousand common stock equivalents outstanding in the form of stock options and 98 thousand and 134 in unvested restricted stock, that have each been excluded from the calculation of diluted net income per common share as their effect would be anti-dilutive.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5"/>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data)</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1"/>
        </w:trPr>
        <w:tc>
          <w:tcPr>
            <w:tcW w:w="4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79,365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27,180</w:t>
            </w: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153,431</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43,680</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7"/>
        </w:trPr>
        <w:tc>
          <w:tcPr>
            <w:tcW w:w="404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color w:val="auto"/>
              </w:rPr>
              <w:t>Denominator:</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1"/>
        </w:trPr>
        <w:tc>
          <w:tcPr>
            <w:tcW w:w="4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Weighted-average basic common shares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28,716</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28,893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28,537</w:t>
            </w:r>
          </w:p>
        </w:tc>
      </w:tr>
      <w:tr>
        <w:trPr>
          <w:trHeight w:val="169"/>
        </w:trPr>
        <w:tc>
          <w:tcPr>
            <w:tcW w:w="404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7"/>
                <w:szCs w:val="17"/>
                <w:color w:val="auto"/>
              </w:rPr>
              <w:t>Dilutive effect of stock options and unvested</w:t>
            </w: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4"/>
        </w:trPr>
        <w:tc>
          <w:tcPr>
            <w:tcW w:w="4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restricted stock</w:t>
            </w:r>
          </w:p>
        </w:tc>
        <w:tc>
          <w:tcPr>
            <w:tcW w:w="2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3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r>
      <w:tr>
        <w:trPr>
          <w:trHeight w:val="214"/>
        </w:trPr>
        <w:tc>
          <w:tcPr>
            <w:tcW w:w="40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Weighted-average diluted common shares</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29,833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29,902</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29,829</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29,669</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7"/>
        </w:trPr>
        <w:tc>
          <w:tcPr>
            <w:tcW w:w="4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1"/>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common share—basic</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0.95</w:t>
            </w: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8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21"/>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common share—diluted</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0.91</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r>
    </w:tbl>
    <w:p>
      <w:pPr>
        <w:spacing w:after="0" w:line="17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Fair Value Instruments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show the Company’s cash, cash equivalents and available-for-sale securities by significant investment category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2025 and December 31, 2024:</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center"/>
              <w:ind w:left="796"/>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Aggregate Fair</w:t>
            </w:r>
          </w:p>
        </w:tc>
        <w:tc>
          <w:tcPr>
            <w:tcW w:w="12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Cash and Cash</w:t>
            </w:r>
          </w:p>
        </w:tc>
        <w:tc>
          <w:tcPr>
            <w:tcW w:w="140" w:type="dxa"/>
            <w:vAlign w:val="bottom"/>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6"/>
                <w:szCs w:val="16"/>
                <w:b w:val="1"/>
                <w:bCs w:val="1"/>
                <w:color w:val="auto"/>
              </w:rPr>
              <w:t>Short-term</w:t>
            </w:r>
          </w:p>
        </w:tc>
        <w:tc>
          <w:tcPr>
            <w:tcW w:w="140" w:type="dxa"/>
            <w:vAlign w:val="bottom"/>
          </w:tcPr>
          <w:p>
            <w:pPr>
              <w:spacing w:after="0"/>
              <w:rPr>
                <w:sz w:val="12"/>
                <w:szCs w:val="12"/>
                <w:color w:val="auto"/>
              </w:rPr>
            </w:pPr>
          </w:p>
        </w:tc>
        <w:tc>
          <w:tcPr>
            <w:tcW w:w="1000" w:type="dxa"/>
            <w:vAlign w:val="bottom"/>
          </w:tcPr>
          <w:p>
            <w:pPr>
              <w:jc w:val="right"/>
              <w:ind w:right="136"/>
              <w:spacing w:after="0" w:line="149" w:lineRule="exact"/>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3"/>
                <w:szCs w:val="13"/>
                <w:color w:val="auto"/>
              </w:rPr>
            </w:pPr>
          </w:p>
        </w:tc>
        <w:tc>
          <w:tcPr>
            <w:tcW w:w="106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60" w:type="dxa"/>
            <w:vAlign w:val="bottom"/>
          </w:tcPr>
          <w:p>
            <w:pPr>
              <w:spacing w:after="0"/>
              <w:rPr>
                <w:sz w:val="13"/>
                <w:szCs w:val="13"/>
                <w:color w:val="auto"/>
              </w:rPr>
            </w:pPr>
          </w:p>
        </w:tc>
        <w:tc>
          <w:tcPr>
            <w:tcW w:w="106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Marketable</w:t>
            </w:r>
          </w:p>
        </w:tc>
        <w:tc>
          <w:tcPr>
            <w:tcW w:w="140" w:type="dxa"/>
            <w:vAlign w:val="bottom"/>
          </w:tcPr>
          <w:p>
            <w:pPr>
              <w:spacing w:after="0"/>
              <w:rPr>
                <w:sz w:val="13"/>
                <w:szCs w:val="13"/>
                <w:color w:val="auto"/>
              </w:rPr>
            </w:pPr>
          </w:p>
        </w:tc>
        <w:tc>
          <w:tcPr>
            <w:tcW w:w="1000" w:type="dxa"/>
            <w:vAlign w:val="bottom"/>
          </w:tcPr>
          <w:p>
            <w:pPr>
              <w:jc w:val="right"/>
              <w:ind w:right="96"/>
              <w:spacing w:after="0" w:line="156" w:lineRule="exact"/>
              <w:rPr>
                <w:sz w:val="20"/>
                <w:szCs w:val="20"/>
                <w:color w:val="auto"/>
              </w:rPr>
            </w:pPr>
            <w:r>
              <w:rPr>
                <w:rFonts w:ascii="Times New Roman" w:cs="Times New Roman" w:eastAsia="Times New Roman" w:hAnsi="Times New Roman"/>
                <w:sz w:val="16"/>
                <w:szCs w:val="16"/>
                <w:b w:val="1"/>
                <w:bCs w:val="1"/>
                <w:color w:val="auto"/>
                <w:w w:val="99"/>
              </w:rPr>
              <w:t>Marketable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(Losses)</w:t>
            </w: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Equivalents</w:t>
            </w:r>
          </w:p>
        </w:tc>
        <w:tc>
          <w:tcPr>
            <w:tcW w:w="140" w:type="dxa"/>
            <w:vAlign w:val="bottom"/>
          </w:tcPr>
          <w:p>
            <w:pPr>
              <w:spacing w:after="0"/>
              <w:rPr>
                <w:sz w:val="18"/>
                <w:szCs w:val="18"/>
                <w:color w:val="auto"/>
              </w:rPr>
            </w:pPr>
          </w:p>
        </w:tc>
        <w:tc>
          <w:tcPr>
            <w:tcW w:w="1080" w:type="dxa"/>
            <w:vAlign w:val="bottom"/>
            <w:gridSpan w:val="2"/>
          </w:tcPr>
          <w:p>
            <w:pPr>
              <w:ind w:left="40"/>
              <w:spacing w:after="0" w:line="208" w:lineRule="exact"/>
              <w:rPr>
                <w:sz w:val="20"/>
                <w:szCs w:val="20"/>
                <w:color w:val="auto"/>
              </w:rPr>
            </w:pP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20"/>
                <w:szCs w:val="20"/>
                <w:b w:val="1"/>
                <w:bCs w:val="1"/>
                <w:color w:val="auto"/>
                <w:vertAlign w:val="superscript"/>
              </w:rPr>
              <w:t>(1)</w:t>
            </w:r>
          </w:p>
        </w:tc>
        <w:tc>
          <w:tcPr>
            <w:tcW w:w="140" w:type="dxa"/>
            <w:vAlign w:val="bottom"/>
          </w:tcPr>
          <w:p>
            <w:pPr>
              <w:spacing w:after="0"/>
              <w:rPr>
                <w:sz w:val="18"/>
                <w:szCs w:val="18"/>
                <w:color w:val="auto"/>
              </w:rPr>
            </w:pPr>
          </w:p>
        </w:tc>
        <w:tc>
          <w:tcPr>
            <w:tcW w:w="1000" w:type="dxa"/>
            <w:vAlign w:val="bottom"/>
          </w:tcPr>
          <w:p>
            <w:pPr>
              <w:jc w:val="right"/>
              <w:ind w:right="116"/>
              <w:spacing w:after="0" w:line="208" w:lineRule="exact"/>
              <w:rPr>
                <w:sz w:val="20"/>
                <w:szCs w:val="20"/>
                <w:color w:val="auto"/>
              </w:rPr>
            </w:pPr>
            <w:r>
              <w:rPr>
                <w:rFonts w:ascii="Times New Roman" w:cs="Times New Roman" w:eastAsia="Times New Roman" w:hAnsi="Times New Roman"/>
                <w:sz w:val="16"/>
                <w:szCs w:val="16"/>
                <w:b w:val="1"/>
                <w:bCs w:val="1"/>
                <w:color w:val="auto"/>
                <w:w w:val="94"/>
              </w:rPr>
              <w:t>Securities</w:t>
            </w:r>
            <w:r>
              <w:rPr>
                <w:rFonts w:ascii="Times New Roman" w:cs="Times New Roman" w:eastAsia="Times New Roman" w:hAnsi="Times New Roman"/>
                <w:sz w:val="20"/>
                <w:szCs w:val="20"/>
                <w:b w:val="1"/>
                <w:bCs w:val="1"/>
                <w:color w:val="auto"/>
                <w:w w:val="94"/>
                <w:vertAlign w:val="superscript"/>
              </w:rPr>
              <w:t>(2)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392,604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392,604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392,604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392,604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392,604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392,604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216,087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76,639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238,995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239,608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470,399</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471,578</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338,465</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133,113</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863,003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864,182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392,604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338,465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620" w:hanging="616"/>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short-term marketable securities mature in one year or less.</w:t>
      </w:r>
    </w:p>
    <w:p>
      <w:pPr>
        <w:spacing w:after="0" w:line="20" w:lineRule="exact"/>
        <w:rPr>
          <w:rFonts w:ascii="Times New Roman" w:cs="Times New Roman" w:eastAsia="Times New Roman" w:hAnsi="Times New Roman"/>
          <w:sz w:val="14"/>
          <w:szCs w:val="14"/>
          <w:color w:val="auto"/>
        </w:rPr>
      </w:pPr>
    </w:p>
    <w:p>
      <w:pPr>
        <w:ind w:left="620" w:hanging="616"/>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long-term marketable securities mature between one and two years.</w:t>
      </w:r>
    </w:p>
    <w:p>
      <w:pPr>
        <w:spacing w:after="0" w:line="200" w:lineRule="exact"/>
        <w:rPr>
          <w:sz w:val="20"/>
          <w:szCs w:val="20"/>
          <w:color w:val="auto"/>
        </w:rPr>
      </w:pPr>
    </w:p>
    <w:p>
      <w:pPr>
        <w:spacing w:after="0" w:line="33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10" w:name="page11"/>
    <w:bookmarkEnd w:id="10"/>
    <w:tbl>
      <w:tblPr>
        <w:tblLayout w:type="fixed"/>
        <w:tblInd w:w="20" w:type="dxa"/>
        <w:tblCellMar>
          <w:top w:w="0" w:type="dxa"/>
          <w:left w:w="0" w:type="dxa"/>
          <w:bottom w:w="0" w:type="dxa"/>
          <w:right w:w="0" w:type="dxa"/>
        </w:tblCellMar>
      </w:tblPr>
      <w:tr>
        <w:trPr>
          <w:trHeight w:val="229"/>
        </w:trPr>
        <w:tc>
          <w:tcPr>
            <w:tcW w:w="2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center"/>
              <w:ind w:left="796"/>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Aggregate Fair</w:t>
            </w:r>
          </w:p>
        </w:tc>
        <w:tc>
          <w:tcPr>
            <w:tcW w:w="12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Cash and Cash</w:t>
            </w:r>
          </w:p>
        </w:tc>
        <w:tc>
          <w:tcPr>
            <w:tcW w:w="140" w:type="dxa"/>
            <w:vAlign w:val="bottom"/>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6"/>
                <w:szCs w:val="16"/>
                <w:b w:val="1"/>
                <w:bCs w:val="1"/>
                <w:color w:val="auto"/>
              </w:rPr>
              <w:t>Short-term</w:t>
            </w:r>
          </w:p>
        </w:tc>
        <w:tc>
          <w:tcPr>
            <w:tcW w:w="140" w:type="dxa"/>
            <w:vAlign w:val="bottom"/>
          </w:tcPr>
          <w:p>
            <w:pPr>
              <w:spacing w:after="0"/>
              <w:rPr>
                <w:sz w:val="12"/>
                <w:szCs w:val="12"/>
                <w:color w:val="auto"/>
              </w:rPr>
            </w:pPr>
          </w:p>
        </w:tc>
        <w:tc>
          <w:tcPr>
            <w:tcW w:w="1000" w:type="dxa"/>
            <w:vAlign w:val="bottom"/>
          </w:tcPr>
          <w:p>
            <w:pPr>
              <w:jc w:val="right"/>
              <w:ind w:right="136"/>
              <w:spacing w:after="0" w:line="149" w:lineRule="exact"/>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156"/>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3"/>
                <w:szCs w:val="13"/>
                <w:color w:val="auto"/>
              </w:rPr>
            </w:pPr>
          </w:p>
        </w:tc>
        <w:tc>
          <w:tcPr>
            <w:tcW w:w="106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60" w:type="dxa"/>
            <w:vAlign w:val="bottom"/>
          </w:tcPr>
          <w:p>
            <w:pPr>
              <w:spacing w:after="0"/>
              <w:rPr>
                <w:sz w:val="13"/>
                <w:szCs w:val="13"/>
                <w:color w:val="auto"/>
              </w:rPr>
            </w:pPr>
          </w:p>
        </w:tc>
        <w:tc>
          <w:tcPr>
            <w:tcW w:w="106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Marketable</w:t>
            </w:r>
          </w:p>
        </w:tc>
        <w:tc>
          <w:tcPr>
            <w:tcW w:w="140" w:type="dxa"/>
            <w:vAlign w:val="bottom"/>
          </w:tcPr>
          <w:p>
            <w:pPr>
              <w:spacing w:after="0"/>
              <w:rPr>
                <w:sz w:val="13"/>
                <w:szCs w:val="13"/>
                <w:color w:val="auto"/>
              </w:rPr>
            </w:pPr>
          </w:p>
        </w:tc>
        <w:tc>
          <w:tcPr>
            <w:tcW w:w="1000" w:type="dxa"/>
            <w:vAlign w:val="bottom"/>
          </w:tcPr>
          <w:p>
            <w:pPr>
              <w:jc w:val="right"/>
              <w:ind w:right="96"/>
              <w:spacing w:after="0" w:line="156" w:lineRule="exact"/>
              <w:rPr>
                <w:sz w:val="20"/>
                <w:szCs w:val="20"/>
                <w:color w:val="auto"/>
              </w:rPr>
            </w:pPr>
            <w:r>
              <w:rPr>
                <w:rFonts w:ascii="Times New Roman" w:cs="Times New Roman" w:eastAsia="Times New Roman" w:hAnsi="Times New Roman"/>
                <w:sz w:val="16"/>
                <w:szCs w:val="16"/>
                <w:b w:val="1"/>
                <w:bCs w:val="1"/>
                <w:color w:val="auto"/>
                <w:w w:val="99"/>
              </w:rPr>
              <w:t>Marketable</w:t>
            </w:r>
          </w:p>
        </w:tc>
        <w:tc>
          <w:tcPr>
            <w:tcW w:w="0" w:type="dxa"/>
            <w:vAlign w:val="bottom"/>
          </w:tcPr>
          <w:p>
            <w:pPr>
              <w:spacing w:after="0"/>
              <w:rPr>
                <w:sz w:val="1"/>
                <w:szCs w:val="1"/>
                <w:color w:val="auto"/>
              </w:rPr>
            </w:pPr>
          </w:p>
        </w:tc>
      </w:tr>
      <w:tr>
        <w:trPr>
          <w:trHeight w:val="208"/>
        </w:trPr>
        <w:tc>
          <w:tcPr>
            <w:tcW w:w="2780" w:type="dxa"/>
            <w:vAlign w:val="bottom"/>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(Losses)</w:t>
            </w: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Equivalents</w:t>
            </w:r>
          </w:p>
        </w:tc>
        <w:tc>
          <w:tcPr>
            <w:tcW w:w="140" w:type="dxa"/>
            <w:vAlign w:val="bottom"/>
          </w:tcPr>
          <w:p>
            <w:pPr>
              <w:spacing w:after="0"/>
              <w:rPr>
                <w:sz w:val="18"/>
                <w:szCs w:val="18"/>
                <w:color w:val="auto"/>
              </w:rPr>
            </w:pPr>
          </w:p>
        </w:tc>
        <w:tc>
          <w:tcPr>
            <w:tcW w:w="1080" w:type="dxa"/>
            <w:vAlign w:val="bottom"/>
            <w:gridSpan w:val="2"/>
          </w:tcPr>
          <w:p>
            <w:pPr>
              <w:ind w:left="40"/>
              <w:spacing w:after="0" w:line="208" w:lineRule="exact"/>
              <w:rPr>
                <w:sz w:val="20"/>
                <w:szCs w:val="20"/>
                <w:color w:val="auto"/>
              </w:rPr>
            </w:pP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20"/>
                <w:szCs w:val="20"/>
                <w:b w:val="1"/>
                <w:bCs w:val="1"/>
                <w:color w:val="auto"/>
                <w:vertAlign w:val="superscript"/>
              </w:rPr>
              <w:t>(1)</w:t>
            </w:r>
          </w:p>
        </w:tc>
        <w:tc>
          <w:tcPr>
            <w:tcW w:w="140" w:type="dxa"/>
            <w:vAlign w:val="bottom"/>
          </w:tcPr>
          <w:p>
            <w:pPr>
              <w:spacing w:after="0"/>
              <w:rPr>
                <w:sz w:val="18"/>
                <w:szCs w:val="18"/>
                <w:color w:val="auto"/>
              </w:rPr>
            </w:pPr>
          </w:p>
        </w:tc>
        <w:tc>
          <w:tcPr>
            <w:tcW w:w="1000" w:type="dxa"/>
            <w:vAlign w:val="bottom"/>
          </w:tcPr>
          <w:p>
            <w:pPr>
              <w:jc w:val="right"/>
              <w:ind w:right="116"/>
              <w:spacing w:after="0" w:line="208" w:lineRule="exact"/>
              <w:rPr>
                <w:sz w:val="20"/>
                <w:szCs w:val="20"/>
                <w:color w:val="auto"/>
              </w:rPr>
            </w:pPr>
            <w:r>
              <w:rPr>
                <w:rFonts w:ascii="Times New Roman" w:cs="Times New Roman" w:eastAsia="Times New Roman" w:hAnsi="Times New Roman"/>
                <w:sz w:val="16"/>
                <w:szCs w:val="16"/>
                <w:b w:val="1"/>
                <w:bCs w:val="1"/>
                <w:color w:val="auto"/>
                <w:w w:val="94"/>
              </w:rPr>
              <w:t>Securities</w:t>
            </w:r>
            <w:r>
              <w:rPr>
                <w:rFonts w:ascii="Times New Roman" w:cs="Times New Roman" w:eastAsia="Times New Roman" w:hAnsi="Times New Roman"/>
                <w:sz w:val="20"/>
                <w:szCs w:val="20"/>
                <w:b w:val="1"/>
                <w:bCs w:val="1"/>
                <w:color w:val="auto"/>
                <w:w w:val="94"/>
                <w:vertAlign w:val="superscript"/>
              </w:rPr>
              <w:t>(2)</w:t>
            </w: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344,865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344,865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344,865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344,865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344,865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344,865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177,771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91,276</w:t>
            </w:r>
          </w:p>
        </w:tc>
        <w:tc>
          <w:tcPr>
            <w:tcW w:w="0" w:type="dxa"/>
            <w:vAlign w:val="bottom"/>
          </w:tcPr>
          <w:p>
            <w:pPr>
              <w:spacing w:after="0"/>
              <w:rPr>
                <w:sz w:val="1"/>
                <w:szCs w:val="1"/>
                <w:color w:val="auto"/>
              </w:rPr>
            </w:pPr>
          </w:p>
        </w:tc>
      </w:tr>
      <w:tr>
        <w:trPr>
          <w:trHeight w:val="22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60,838</w:t>
            </w:r>
          </w:p>
        </w:tc>
        <w:tc>
          <w:tcPr>
            <w:tcW w:w="0" w:type="dxa"/>
            <w:vAlign w:val="bottom"/>
          </w:tcPr>
          <w:p>
            <w:pPr>
              <w:spacing w:after="0"/>
              <w:rPr>
                <w:sz w:val="1"/>
                <w:szCs w:val="1"/>
                <w:color w:val="auto"/>
              </w:rPr>
            </w:pPr>
          </w:p>
        </w:tc>
      </w:tr>
      <w:tr>
        <w:trPr>
          <w:trHeight w:val="214"/>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404,427</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404,766</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252,652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152,114</w:t>
            </w:r>
          </w:p>
        </w:tc>
        <w:tc>
          <w:tcPr>
            <w:tcW w:w="0" w:type="dxa"/>
            <w:vAlign w:val="bottom"/>
          </w:tcPr>
          <w:p>
            <w:pPr>
              <w:spacing w:after="0"/>
              <w:rPr>
                <w:sz w:val="1"/>
                <w:szCs w:val="1"/>
                <w:color w:val="auto"/>
              </w:rPr>
            </w:pPr>
          </w:p>
        </w:tc>
      </w:tr>
      <w:tr>
        <w:trPr>
          <w:trHeight w:val="239"/>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749,292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749,631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344,865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252,652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152,114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8432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20" w:hanging="616"/>
        <w:spacing w:after="0"/>
        <w:tabs>
          <w:tab w:leader="none" w:pos="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short-term marketable securities mature in one year or less.</w:t>
      </w:r>
    </w:p>
    <w:p>
      <w:pPr>
        <w:spacing w:after="0" w:line="20" w:lineRule="exact"/>
        <w:rPr>
          <w:rFonts w:ascii="Times New Roman" w:cs="Times New Roman" w:eastAsia="Times New Roman" w:hAnsi="Times New Roman"/>
          <w:sz w:val="14"/>
          <w:szCs w:val="14"/>
          <w:color w:val="auto"/>
        </w:rPr>
      </w:pPr>
    </w:p>
    <w:p>
      <w:pPr>
        <w:ind w:left="620" w:hanging="616"/>
        <w:spacing w:after="0"/>
        <w:tabs>
          <w:tab w:leader="none" w:pos="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long-term marketable securities mature between one and two years.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6.  Balance Sheet Components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76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6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Inventory consisted of the following:</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0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24"/>
                <w:szCs w:val="24"/>
                <w:color w:val="auto"/>
              </w:rPr>
            </w:pPr>
          </w:p>
        </w:tc>
        <w:tc>
          <w:tcPr>
            <w:tcW w:w="152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7620" w:type="dxa"/>
            <w:vAlign w:val="bottom"/>
            <w:tcBorders>
              <w:bottom w:val="single" w:sz="8" w:color="CCEEFF"/>
            </w:tcBorders>
            <w:gridSpan w:val="2"/>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Work-in-process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10,743</w:t>
            </w: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Inventory</w:t>
            </w: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37,632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26,508</w:t>
            </w:r>
          </w:p>
        </w:tc>
        <w:tc>
          <w:tcPr>
            <w:tcW w:w="0" w:type="dxa"/>
            <w:vAlign w:val="bottom"/>
          </w:tcPr>
          <w:p>
            <w:pPr>
              <w:spacing w:after="0"/>
              <w:rPr>
                <w:sz w:val="1"/>
                <w:szCs w:val="1"/>
                <w:color w:val="auto"/>
              </w:rPr>
            </w:pPr>
          </w:p>
        </w:tc>
      </w:tr>
      <w:tr>
        <w:trPr>
          <w:trHeight w:val="20"/>
        </w:trPr>
        <w:tc>
          <w:tcPr>
            <w:tcW w:w="7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6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6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00" w:type="dxa"/>
            <w:vAlign w:val="bottom"/>
          </w:tcPr>
          <w:p>
            <w:pPr>
              <w:spacing w:after="0"/>
              <w:rPr>
                <w:sz w:val="24"/>
                <w:szCs w:val="24"/>
                <w:color w:val="auto"/>
              </w:rPr>
            </w:pPr>
          </w:p>
        </w:tc>
        <w:tc>
          <w:tcPr>
            <w:tcW w:w="164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24"/>
                <w:szCs w:val="24"/>
                <w:color w:val="auto"/>
              </w:rPr>
            </w:pPr>
          </w:p>
        </w:tc>
        <w:tc>
          <w:tcPr>
            <w:tcW w:w="1520" w:type="dxa"/>
            <w:vAlign w:val="bottom"/>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 and building improvements</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109,242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Manufacturing equipment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27,161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25,673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Laboratory equipment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178,043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177,087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148,871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Depreciation expense was $1.4 million and $1.3 million for the three months ended September 30, 2025 and 2024, respectively, and $4.2 million and $4.6 million for the nine months ended September 30, 2025 and September 30, 2024, respectively. Depreciation expense capitalized into inventory was $1.1 million and $1.0 million for the three months ended September 30, 2025 and 2024, respectively, and $3.1 million and $2.4 million for the nine months ended September 30, 2025 and September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1"/>
        </w:trPr>
        <w:tc>
          <w:tcPr>
            <w:tcW w:w="76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 and Other Current Liabilities</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9480" w:type="dxa"/>
            <w:vAlign w:val="bottom"/>
            <w:gridSpan w:val="4"/>
          </w:tcPr>
          <w:p>
            <w:pPr>
              <w:ind w:left="62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 as of September 30, 2025 and December 31, 2024:</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Pr>
          <w:p>
            <w:pPr>
              <w:spacing w:after="0"/>
              <w:rPr>
                <w:sz w:val="24"/>
                <w:szCs w:val="24"/>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24"/>
                <w:szCs w:val="24"/>
                <w:color w:val="auto"/>
              </w:rPr>
            </w:pPr>
          </w:p>
        </w:tc>
        <w:tc>
          <w:tcPr>
            <w:tcW w:w="15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4"/>
        </w:trPr>
        <w:tc>
          <w:tcPr>
            <w:tcW w:w="7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2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taxes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w:t>
            </w:r>
          </w:p>
        </w:tc>
        <w:tc>
          <w:tcPr>
            <w:tcW w:w="0" w:type="dxa"/>
            <w:vAlign w:val="bottom"/>
          </w:tcPr>
          <w:p>
            <w:pPr>
              <w:spacing w:after="0"/>
              <w:rPr>
                <w:sz w:val="1"/>
                <w:szCs w:val="1"/>
                <w:color w:val="auto"/>
              </w:rPr>
            </w:pPr>
          </w:p>
        </w:tc>
      </w:tr>
      <w:tr>
        <w:trPr>
          <w:trHeight w:val="221"/>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payroll and benefits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9,558</w:t>
            </w:r>
          </w:p>
        </w:tc>
        <w:tc>
          <w:tcPr>
            <w:tcW w:w="0" w:type="dxa"/>
            <w:vAlign w:val="bottom"/>
          </w:tcPr>
          <w:p>
            <w:pPr>
              <w:spacing w:after="0"/>
              <w:rPr>
                <w:sz w:val="1"/>
                <w:szCs w:val="1"/>
                <w:color w:val="auto"/>
              </w:rPr>
            </w:pPr>
          </w:p>
        </w:tc>
      </w:tr>
      <w:tr>
        <w:trPr>
          <w:trHeight w:val="22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2,659</w:t>
            </w:r>
          </w:p>
        </w:tc>
        <w:tc>
          <w:tcPr>
            <w:tcW w:w="0" w:type="dxa"/>
            <w:vAlign w:val="bottom"/>
          </w:tcPr>
          <w:p>
            <w:pPr>
              <w:spacing w:after="0"/>
              <w:rPr>
                <w:sz w:val="1"/>
                <w:szCs w:val="1"/>
                <w:color w:val="auto"/>
              </w:rPr>
            </w:pPr>
          </w:p>
        </w:tc>
      </w:tr>
      <w:tr>
        <w:trPr>
          <w:trHeight w:val="221"/>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preclinical and clinical expenses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0" w:type="dxa"/>
            <w:vAlign w:val="bottom"/>
          </w:tcPr>
          <w:p>
            <w:pPr>
              <w:spacing w:after="0"/>
              <w:rPr>
                <w:sz w:val="1"/>
                <w:szCs w:val="1"/>
                <w:color w:val="auto"/>
              </w:rPr>
            </w:pPr>
          </w:p>
        </w:tc>
      </w:tr>
      <w:tr>
        <w:trPr>
          <w:trHeight w:val="22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w:t>
            </w:r>
          </w:p>
        </w:tc>
        <w:tc>
          <w:tcPr>
            <w:tcW w:w="0" w:type="dxa"/>
            <w:vAlign w:val="bottom"/>
          </w:tcPr>
          <w:p>
            <w:pPr>
              <w:spacing w:after="0"/>
              <w:rPr>
                <w:sz w:val="1"/>
                <w:szCs w:val="1"/>
                <w:color w:val="auto"/>
              </w:rPr>
            </w:pPr>
          </w:p>
        </w:tc>
      </w:tr>
      <w:tr>
        <w:trPr>
          <w:trHeight w:val="221"/>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inventory</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0" w:type="dxa"/>
            <w:vAlign w:val="bottom"/>
          </w:tcPr>
          <w:p>
            <w:pPr>
              <w:spacing w:after="0"/>
              <w:rPr>
                <w:sz w:val="1"/>
                <w:szCs w:val="1"/>
                <w:color w:val="auto"/>
              </w:rPr>
            </w:pPr>
          </w:p>
        </w:tc>
      </w:tr>
      <w:tr>
        <w:trPr>
          <w:trHeight w:val="22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construction in progress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5,077</w:t>
            </w:r>
          </w:p>
        </w:tc>
        <w:tc>
          <w:tcPr>
            <w:tcW w:w="0" w:type="dxa"/>
            <w:vAlign w:val="bottom"/>
          </w:tcPr>
          <w:p>
            <w:pPr>
              <w:spacing w:after="0"/>
              <w:rPr>
                <w:sz w:val="1"/>
                <w:szCs w:val="1"/>
                <w:color w:val="auto"/>
              </w:rPr>
            </w:pPr>
          </w:p>
        </w:tc>
      </w:tr>
      <w:tr>
        <w:trPr>
          <w:trHeight w:val="221"/>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Accrued litigation settlement</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31,250</w:t>
            </w:r>
          </w:p>
        </w:tc>
        <w:tc>
          <w:tcPr>
            <w:tcW w:w="0" w:type="dxa"/>
            <w:vAlign w:val="bottom"/>
          </w:tcPr>
          <w:p>
            <w:pPr>
              <w:spacing w:after="0"/>
              <w:rPr>
                <w:sz w:val="1"/>
                <w:szCs w:val="1"/>
                <w:color w:val="auto"/>
              </w:rPr>
            </w:pPr>
          </w:p>
        </w:tc>
      </w:tr>
      <w:tr>
        <w:trPr>
          <w:trHeight w:val="239"/>
        </w:trPr>
        <w:tc>
          <w:tcPr>
            <w:tcW w:w="7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58,989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625"/>
        <w:spacing w:after="0" w:line="265" w:lineRule="auto"/>
        <w:rPr>
          <w:sz w:val="20"/>
          <w:szCs w:val="20"/>
          <w:color w:val="auto"/>
        </w:rPr>
      </w:pPr>
      <w:r>
        <w:rPr>
          <w:rFonts w:ascii="Times New Roman" w:cs="Times New Roman" w:eastAsia="Times New Roman" w:hAnsi="Times New Roman"/>
          <w:sz w:val="17"/>
          <w:szCs w:val="17"/>
          <w:color w:val="auto"/>
        </w:rPr>
        <w:t>In May 2020, PeriphaGen, Inc. (“PeriphaGen”) commenced litigation against the Company alleging breach of contract and misappropriation of trade secrets. In April 2022, the Company and PeriphaGen entered into a final settlement. In accordance with the settlement agreement, the Company paid PeriphaGen total consideration of $75.0 million to settle the dispute, acquire certain assets and receive an exclusive license from PeriphaGen to certain intellectual property assets and biological materials which was paid over time upon completion of certain milestones, with the final payment occurring during the three months ended March 31, 2025. Refer to Note 7 of our consolidated financial statements in the 2024 10-K for additional information.</w:t>
      </w:r>
    </w:p>
    <w:p>
      <w:pPr>
        <w:spacing w:after="0" w:line="67"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The Company recorded litigation settlement expense of zero and $12.5 million for the three months ended September 30, 2025 and 2024, respectively, and zero and $37.5 million for the nine months ended September 30, 2025 and 2024, respectively, on the condensed consolidated statements of operations and comprehensive income. As of March 31, 2025, the Company has fully paid the $75.0 million of total consideration discussed above.</w:t>
      </w:r>
    </w:p>
    <w:p>
      <w:pPr>
        <w:spacing w:after="0" w:line="5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Commitments and Contingencies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Agreements with Contract Manufacturing Organizations and Contract Research Organizations</w:t>
      </w:r>
    </w:p>
    <w:p>
      <w:pPr>
        <w:spacing w:after="0" w:line="121" w:lineRule="exact"/>
        <w:rPr>
          <w:sz w:val="20"/>
          <w:szCs w:val="20"/>
          <w:color w:val="auto"/>
        </w:rPr>
      </w:pPr>
    </w:p>
    <w:p>
      <w:pPr>
        <w:jc w:val="both"/>
        <w:ind w:firstLine="625"/>
        <w:spacing w:after="0" w:line="261" w:lineRule="auto"/>
        <w:rPr>
          <w:sz w:val="20"/>
          <w:szCs w:val="20"/>
          <w:color w:val="auto"/>
        </w:rPr>
      </w:pPr>
      <w:r>
        <w:rPr>
          <w:rFonts w:ascii="Times New Roman" w:cs="Times New Roman" w:eastAsia="Times New Roman" w:hAnsi="Times New Roman"/>
          <w:sz w:val="17"/>
          <w:szCs w:val="17"/>
          <w:color w:val="auto"/>
        </w:rPr>
        <w:t>The Company enters into various agreements in the normal course of business with Contract Manufacturing Organizations (“CMOs”), Contract Research Organizations (“CROs”) and other third parties for preclinical research studies, clinical trials and testing and manufacturing services. The agreements with CMOs primarily relate to the manufacturing of our sterile gel that is mixed with in-house produced vectors as part of the final drug product for VYJUVEK. Agreements with third parties may also include research and development consulting activities, clinical-trial agreements, testing of our clinical-stage, pre-commercial and commercial stage products and/or storage, packaging and labeling. The Company is obligated to make milestone payments under certain of these contracts. The Company has incurred research and development expenses related to commitments under these agreements of $2.3 million and $6.6 million for the three and nine months ended September 30, 2025, respectively, and $2.7 million and $5.8 million for the three and nine months ended September 30, 2024,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121"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 xml:space="preserve">In the ordinary course of business, the Company may be subject from time to time to various proceedings, lawsuits, disputes, or claims. In accordance with FASB ASC Topic 450, </w:t>
      </w:r>
      <w:r>
        <w:rPr>
          <w:rFonts w:ascii="Times New Roman" w:cs="Times New Roman" w:eastAsia="Times New Roman" w:hAnsi="Times New Roman"/>
          <w:sz w:val="17"/>
          <w:szCs w:val="17"/>
          <w:i w:val="1"/>
          <w:iCs w:val="1"/>
          <w:color w:val="auto"/>
        </w:rPr>
        <w:t>Contingencie</w:t>
      </w:r>
      <w:r>
        <w:rPr>
          <w:rFonts w:ascii="Times New Roman" w:cs="Times New Roman" w:eastAsia="Times New Roman" w:hAnsi="Times New Roman"/>
          <w:sz w:val="17"/>
          <w:szCs w:val="17"/>
          <w:color w:val="auto"/>
        </w:rPr>
        <w:t>s (“ASC 450”), the Company accrues a liability for legal contingencies when it is probable that a liability has been incurred, and the amount of the loss can be reasonably estimated. If there is at least a reasonable possibility that a loss may be incurred, ASC 450 requires disclosure of a loss contingency.</w:t>
      </w:r>
    </w:p>
    <w:p>
      <w:pPr>
        <w:spacing w:after="0" w:line="65" w:lineRule="exact"/>
        <w:rPr>
          <w:sz w:val="20"/>
          <w:szCs w:val="20"/>
          <w:color w:val="auto"/>
        </w:rPr>
      </w:pPr>
    </w:p>
    <w:p>
      <w:pPr>
        <w:jc w:val="both"/>
        <w:ind w:firstLine="625"/>
        <w:spacing w:after="0" w:line="265" w:lineRule="auto"/>
        <w:rPr>
          <w:sz w:val="20"/>
          <w:szCs w:val="20"/>
          <w:color w:val="auto"/>
        </w:rPr>
      </w:pPr>
      <w:r>
        <w:rPr>
          <w:rFonts w:ascii="Times New Roman" w:cs="Times New Roman" w:eastAsia="Times New Roman" w:hAnsi="Times New Roman"/>
          <w:sz w:val="17"/>
          <w:szCs w:val="17"/>
          <w:color w:val="auto"/>
        </w:rPr>
        <w:t>In the first quarter of 2025, the Company and certain of its employees received subpoenas from the U.S. Department of Justice requesting that the Company produce certain documents regarding its sponsored genetic testing program relating to VYJUVEK and commercial practices relating thereto. The Company is cooperating and providing information in response to the subpoenas. It is not possible to estimate the amount of any loss or range of possible loss that might result from this inquiry, and because the final outcome cannot be predicted with certainty, unfavorable or unexpected developments or outcomes could result in a material impact to the Company’s results of operations.</w:t>
      </w:r>
    </w:p>
    <w:p>
      <w:pPr>
        <w:spacing w:after="0" w:line="67"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On September 18, 2025, a purported stockholder filed a derivative complaint in the Court of Chancery of the state of Delaware naming the Company’s directors as defendants and the Company as a nominal defendant. The complaint alleges claims for breach of fiduciary duty, unjust enrichment, and waste of corporate assets based on allegedly excessive non-</w:t>
      </w:r>
    </w:p>
    <w:p>
      <w:pPr>
        <w:spacing w:after="0" w:line="200" w:lineRule="exact"/>
        <w:rPr>
          <w:sz w:val="20"/>
          <w:szCs w:val="20"/>
          <w:color w:val="auto"/>
        </w:rPr>
      </w:pPr>
    </w:p>
    <w:p>
      <w:pPr>
        <w:spacing w:after="0" w:line="29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2" w:name="page13"/>
    <w:bookmarkEnd w:id="12"/>
    <w:p>
      <w:pPr>
        <w:jc w:val="both"/>
        <w:spacing w:after="0" w:line="268" w:lineRule="auto"/>
        <w:rPr>
          <w:sz w:val="20"/>
          <w:szCs w:val="20"/>
          <w:color w:val="auto"/>
        </w:rPr>
      </w:pPr>
      <w:r>
        <w:rPr>
          <w:rFonts w:ascii="Times New Roman" w:cs="Times New Roman" w:eastAsia="Times New Roman" w:hAnsi="Times New Roman"/>
          <w:sz w:val="17"/>
          <w:szCs w:val="17"/>
          <w:color w:val="auto"/>
        </w:rPr>
        <w:t>employee director compensation in each of 2021 through 2024. The complaint seeks unspecified damages in favor of the Company, restitution of compensation and other benefits from the individual defendants, reforms and improvements to the Company’s corporate governance and internal procedures, and the award of costs and disbursements of the complaint, including reasonable attorneys’ fees. At this time, the Company cannot reasonably estimate the likelihood of an unfavorable outcome or estimate the potential loss, if any.</w:t>
      </w:r>
    </w:p>
    <w:p>
      <w:pPr>
        <w:spacing w:after="0" w:line="6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Leases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September 30, 2025, future minimum commitments under the Company’s operating leases with lease terms in excess of 12 months were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Operating Leases</w:t>
            </w:r>
          </w:p>
        </w:tc>
      </w:tr>
      <w:tr>
        <w:trPr>
          <w:trHeight w:val="214"/>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(remaining three months)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r>
      <w:tr>
        <w:trPr>
          <w:trHeight w:val="221"/>
        </w:trPr>
        <w:tc>
          <w:tcPr>
            <w:tcW w:w="9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1,865</w:t>
            </w:r>
          </w:p>
        </w:tc>
      </w:tr>
      <w:tr>
        <w:trPr>
          <w:trHeight w:val="221"/>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w:t>
            </w:r>
          </w:p>
        </w:tc>
      </w:tr>
      <w:tr>
        <w:trPr>
          <w:trHeight w:val="221"/>
        </w:trPr>
        <w:tc>
          <w:tcPr>
            <w:tcW w:w="9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w:t>
            </w:r>
          </w:p>
        </w:tc>
      </w:tr>
      <w:tr>
        <w:trPr>
          <w:trHeight w:val="221"/>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w:t>
            </w:r>
          </w:p>
        </w:tc>
      </w:tr>
      <w:tr>
        <w:trPr>
          <w:trHeight w:val="221"/>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9,295</w:t>
            </w:r>
          </w:p>
        </w:tc>
      </w:tr>
      <w:tr>
        <w:trPr>
          <w:trHeight w:val="214"/>
        </w:trPr>
        <w:tc>
          <w:tcPr>
            <w:tcW w:w="9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Future minimum operating lease payments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17,419</w:t>
            </w:r>
          </w:p>
        </w:tc>
      </w:tr>
      <w:tr>
        <w:trPr>
          <w:trHeight w:val="221"/>
        </w:trPr>
        <w:tc>
          <w:tcPr>
            <w:tcW w:w="9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Less: Interest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(7,908)</w:t>
            </w:r>
          </w:p>
        </w:tc>
      </w:tr>
      <w:tr>
        <w:trPr>
          <w:trHeight w:val="239"/>
        </w:trPr>
        <w:tc>
          <w:tcPr>
            <w:tcW w:w="9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Present value of 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9,511</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As of September 30, 2025 and December 31, 2024, the Company’s weighted-average remaining lease term for operating leases was 10.2 years and 12.2 years, respectively, and the Company’s weighted-average discount rate for operating leases was 9.7% and 9.5% as of September 30, 2025 and December 31, 2024, respectively.</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the Company’s lease expense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3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5"/>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4"/>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lease expense</w:t>
            </w:r>
          </w:p>
        </w:tc>
        <w:tc>
          <w:tcPr>
            <w:tcW w:w="124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w:t>
            </w:r>
          </w:p>
        </w:tc>
      </w:tr>
      <w:tr>
        <w:trPr>
          <w:trHeight w:val="221"/>
        </w:trPr>
        <w:tc>
          <w:tcPr>
            <w:tcW w:w="4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Variable lease expense</w:t>
            </w: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39"/>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lease expense</w:t>
            </w:r>
          </w:p>
        </w:tc>
        <w:tc>
          <w:tcPr>
            <w:tcW w:w="124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9.</w:t>
        <w:tab/>
        <w:t>Stock-Based Compensation</w:t>
      </w:r>
    </w:p>
    <w:p>
      <w:pPr>
        <w:spacing w:after="0" w:line="119" w:lineRule="exact"/>
        <w:rPr>
          <w:sz w:val="20"/>
          <w:szCs w:val="20"/>
          <w:color w:val="auto"/>
        </w:rPr>
      </w:pPr>
    </w:p>
    <w:p>
      <w:pPr>
        <w:jc w:val="both"/>
        <w:ind w:firstLine="625"/>
        <w:spacing w:after="0" w:line="263" w:lineRule="auto"/>
        <w:rPr>
          <w:sz w:val="20"/>
          <w:szCs w:val="20"/>
          <w:color w:val="auto"/>
        </w:rPr>
      </w:pPr>
      <w:r>
        <w:rPr>
          <w:rFonts w:ascii="Times New Roman" w:cs="Times New Roman" w:eastAsia="Times New Roman" w:hAnsi="Times New Roman"/>
          <w:sz w:val="17"/>
          <w:szCs w:val="17"/>
          <w:color w:val="auto"/>
        </w:rPr>
        <w:t>In 2017, the Company adopted the 2017 IPO Stock Incentive Plan (“Plan”), which governs the issuance of equity awards to employees, certain non-employee consultants, and directors. Initially, the Company reserved 900 thousand shares for issuance under the Plan with an initial sublimit for incentive stock options of 900 thousand shares. On an annual basis, the amount of shares available for issuance under the Plan increases by an amount equal to four percent of the total outstanding shares as of the last day of the preceding calendar year. The sublimit of incentive stock options is not subject to the increase. The Company has historically granted stock options, restricted stock awards (“RSAs”), restricted stock units (“RSUs”) and performance-based restricted stock units (“PSUs” and with RSUs commonly referred to collectively as “restricted stock units”) to certain employees.</w:t>
      </w:r>
    </w:p>
    <w:p>
      <w:pPr>
        <w:spacing w:after="0" w:line="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Shares remaining available for grant under the Plan were 2.0 million as of September 30, 2025.</w:t>
      </w:r>
    </w:p>
    <w:p>
      <w:pPr>
        <w:spacing w:after="0" w:line="200" w:lineRule="exact"/>
        <w:rPr>
          <w:sz w:val="20"/>
          <w:szCs w:val="20"/>
          <w:color w:val="auto"/>
        </w:rPr>
      </w:pPr>
    </w:p>
    <w:p>
      <w:pPr>
        <w:spacing w:after="0" w:line="34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1"/>
        </w:trPr>
        <w:tc>
          <w:tcPr>
            <w:tcW w:w="3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9460" w:type="dxa"/>
            <w:vAlign w:val="bottom"/>
            <w:gridSpan w:val="8"/>
          </w:tcPr>
          <w:p>
            <w:pPr>
              <w:ind w:left="600"/>
              <w:spacing w:after="0"/>
              <w:rPr>
                <w:sz w:val="20"/>
                <w:szCs w:val="20"/>
                <w:color w:val="auto"/>
              </w:rPr>
            </w:pPr>
            <w:r>
              <w:rPr>
                <w:rFonts w:ascii="Times New Roman" w:cs="Times New Roman" w:eastAsia="Times New Roman" w:hAnsi="Times New Roman"/>
                <w:sz w:val="17"/>
                <w:szCs w:val="17"/>
                <w:color w:val="auto"/>
              </w:rPr>
              <w:t>The following table summarizes the Company’s stock option activity for the nine months ended September 30, 2025:</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120" w:type="dxa"/>
            <w:vAlign w:val="bottom"/>
          </w:tcPr>
          <w:p>
            <w:pPr>
              <w:spacing w:after="0"/>
              <w:rPr>
                <w:sz w:val="24"/>
                <w:szCs w:val="24"/>
                <w:color w:val="auto"/>
              </w:rPr>
            </w:pPr>
          </w:p>
        </w:tc>
        <w:tc>
          <w:tcPr>
            <w:tcW w:w="16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Aggregate Intrinsic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140" w:type="dxa"/>
            <w:vAlign w:val="bottom"/>
          </w:tcPr>
          <w:p>
            <w:pPr>
              <w:spacing w:after="0"/>
              <w:rPr>
                <w:sz w:val="14"/>
                <w:szCs w:val="14"/>
                <w:color w:val="auto"/>
              </w:rPr>
            </w:pPr>
          </w:p>
        </w:tc>
        <w:tc>
          <w:tcPr>
            <w:tcW w:w="1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Weighted-Average</w:t>
            </w:r>
          </w:p>
        </w:tc>
        <w:tc>
          <w:tcPr>
            <w:tcW w:w="186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12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860" w:type="dxa"/>
            <w:vAlign w:val="bottom"/>
            <w:gridSpan w:val="2"/>
          </w:tcPr>
          <w:p>
            <w:pPr>
              <w:jc w:val="center"/>
              <w:ind w:right="140"/>
              <w:spacing w:after="0" w:line="182" w:lineRule="exact"/>
              <w:rPr>
                <w:sz w:val="20"/>
                <w:szCs w:val="20"/>
                <w:color w:val="auto"/>
              </w:rPr>
            </w:pPr>
            <w:r>
              <w:rPr>
                <w:rFonts w:ascii="Times New Roman" w:cs="Times New Roman" w:eastAsia="Times New Roman" w:hAnsi="Times New Roman"/>
                <w:sz w:val="17"/>
                <w:szCs w:val="17"/>
                <w:b w:val="1"/>
                <w:bCs w:val="1"/>
                <w:color w:val="auto"/>
              </w:rPr>
              <w:t>Contractual Life</w:t>
            </w:r>
          </w:p>
        </w:tc>
        <w:tc>
          <w:tcPr>
            <w:tcW w:w="120" w:type="dxa"/>
            <w:vAlign w:val="bottom"/>
          </w:tcPr>
          <w:p>
            <w:pPr>
              <w:spacing w:after="0"/>
              <w:rPr>
                <w:sz w:val="15"/>
                <w:szCs w:val="15"/>
                <w:color w:val="auto"/>
              </w:rPr>
            </w:pPr>
          </w:p>
        </w:tc>
        <w:tc>
          <w:tcPr>
            <w:tcW w:w="1640" w:type="dxa"/>
            <w:vAlign w:val="bottom"/>
          </w:tcPr>
          <w:p>
            <w:pPr>
              <w:jc w:val="center"/>
              <w:ind w:right="54"/>
              <w:spacing w:after="0" w:line="183" w:lineRule="exact"/>
              <w:rPr>
                <w:sz w:val="20"/>
                <w:szCs w:val="20"/>
                <w:color w:val="auto"/>
              </w:rPr>
            </w:pPr>
            <w:r>
              <w:rPr>
                <w:rFonts w:ascii="Times New Roman" w:cs="Times New Roman" w:eastAsia="Times New Roman" w:hAnsi="Times New Roman"/>
                <w:sz w:val="17"/>
                <w:szCs w:val="17"/>
                <w:b w:val="1"/>
                <w:bCs w:val="1"/>
                <w:color w:val="auto"/>
                <w:w w:val="91"/>
              </w:rPr>
              <w:t>Value</w:t>
            </w:r>
            <w:r>
              <w:rPr>
                <w:rFonts w:ascii="Times New Roman" w:cs="Times New Roman" w:eastAsia="Times New Roman" w:hAnsi="Times New Roman"/>
                <w:sz w:val="21"/>
                <w:szCs w:val="21"/>
                <w:b w:val="1"/>
                <w:bCs w:val="1"/>
                <w:color w:val="auto"/>
                <w:w w:val="91"/>
                <w:vertAlign w:val="superscript"/>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4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i w:val="1"/>
                <w:iCs w:val="1"/>
                <w:color w:val="auto"/>
              </w:rPr>
              <w:t>(in years)</w:t>
            </w:r>
          </w:p>
        </w:tc>
        <w:tc>
          <w:tcPr>
            <w:tcW w:w="120" w:type="dxa"/>
            <w:vAlign w:val="bottom"/>
          </w:tcPr>
          <w:p>
            <w:pPr>
              <w:spacing w:after="0"/>
              <w:rPr>
                <w:sz w:val="19"/>
                <w:szCs w:val="19"/>
                <w:color w:val="auto"/>
              </w:rPr>
            </w:pPr>
          </w:p>
        </w:tc>
        <w:tc>
          <w:tcPr>
            <w:tcW w:w="1640" w:type="dxa"/>
            <w:vAlign w:val="bottom"/>
          </w:tcPr>
          <w:p>
            <w:pPr>
              <w:jc w:val="center"/>
              <w:ind w:right="34"/>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2,049,063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82.69</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156,404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385,403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166.80</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Exercised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Cancelled or 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107.43</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September 30,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2,236,147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Exercisable as of September 30, 2025</w:t>
            </w: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1,307,004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72.71</w:t>
            </w: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6.1</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136,219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620" w:hanging="616"/>
        <w:spacing w:after="0" w:line="263" w:lineRule="auto"/>
        <w:tabs>
          <w:tab w:leader="none" w:pos="61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intrinsic value represents the difference between the closing stock price of our Common Stock on December 31, 2024 and September 30, 2025 and the exercise price of outstanding in-the-money options.</w:t>
      </w:r>
    </w:p>
    <w:p>
      <w:pPr>
        <w:spacing w:after="0" w:line="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Company’s stock option activity for the nine months ended September 30, 2024:</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120" w:type="dxa"/>
            <w:vAlign w:val="bottom"/>
          </w:tcPr>
          <w:p>
            <w:pPr>
              <w:spacing w:after="0"/>
              <w:rPr>
                <w:sz w:val="17"/>
                <w:szCs w:val="17"/>
                <w:color w:val="auto"/>
              </w:rPr>
            </w:pPr>
          </w:p>
        </w:tc>
        <w:tc>
          <w:tcPr>
            <w:tcW w:w="1640" w:type="dxa"/>
            <w:vAlign w:val="bottom"/>
            <w:vMerge w:val="restart"/>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Aggregate Intrinsic</w:t>
            </w:r>
          </w:p>
        </w:tc>
        <w:tc>
          <w:tcPr>
            <w:tcW w:w="0" w:type="dxa"/>
            <w:vAlign w:val="bottom"/>
          </w:tcPr>
          <w:p>
            <w:pPr>
              <w:spacing w:after="0"/>
              <w:rPr>
                <w:sz w:val="1"/>
                <w:szCs w:val="1"/>
                <w:color w:val="auto"/>
              </w:rPr>
            </w:pPr>
          </w:p>
        </w:tc>
      </w:tr>
      <w:tr>
        <w:trPr>
          <w:trHeight w:val="177"/>
        </w:trPr>
        <w:tc>
          <w:tcPr>
            <w:tcW w:w="3860" w:type="dxa"/>
            <w:vAlign w:val="bottom"/>
          </w:tcPr>
          <w:p>
            <w:pPr>
              <w:spacing w:after="0"/>
              <w:rPr>
                <w:sz w:val="15"/>
                <w:szCs w:val="15"/>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140" w:type="dxa"/>
            <w:vAlign w:val="bottom"/>
          </w:tcPr>
          <w:p>
            <w:pPr>
              <w:spacing w:after="0"/>
              <w:rPr>
                <w:sz w:val="15"/>
                <w:szCs w:val="15"/>
                <w:color w:val="auto"/>
              </w:rPr>
            </w:pPr>
          </w:p>
        </w:tc>
        <w:tc>
          <w:tcPr>
            <w:tcW w:w="1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Weighted-Average</w:t>
            </w:r>
          </w:p>
        </w:tc>
        <w:tc>
          <w:tcPr>
            <w:tcW w:w="18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1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860" w:type="dxa"/>
            <w:vAlign w:val="bottom"/>
            <w:gridSpan w:val="2"/>
          </w:tcPr>
          <w:p>
            <w:pPr>
              <w:jc w:val="center"/>
              <w:ind w:right="140"/>
              <w:spacing w:after="0" w:line="169" w:lineRule="exact"/>
              <w:rPr>
                <w:sz w:val="20"/>
                <w:szCs w:val="20"/>
                <w:color w:val="auto"/>
              </w:rPr>
            </w:pPr>
            <w:r>
              <w:rPr>
                <w:rFonts w:ascii="Times New Roman" w:cs="Times New Roman" w:eastAsia="Times New Roman" w:hAnsi="Times New Roman"/>
                <w:sz w:val="17"/>
                <w:szCs w:val="17"/>
                <w:b w:val="1"/>
                <w:bCs w:val="1"/>
                <w:color w:val="auto"/>
              </w:rPr>
              <w:t>Contractual Life</w:t>
            </w:r>
          </w:p>
        </w:tc>
        <w:tc>
          <w:tcPr>
            <w:tcW w:w="120" w:type="dxa"/>
            <w:vAlign w:val="bottom"/>
          </w:tcPr>
          <w:p>
            <w:pPr>
              <w:spacing w:after="0"/>
              <w:rPr>
                <w:sz w:val="14"/>
                <w:szCs w:val="14"/>
                <w:color w:val="auto"/>
              </w:rPr>
            </w:pPr>
          </w:p>
        </w:tc>
        <w:tc>
          <w:tcPr>
            <w:tcW w:w="1640" w:type="dxa"/>
            <w:vAlign w:val="bottom"/>
          </w:tcPr>
          <w:p>
            <w:pPr>
              <w:jc w:val="center"/>
              <w:ind w:right="55"/>
              <w:spacing w:after="0" w:line="169" w:lineRule="exact"/>
              <w:rPr>
                <w:sz w:val="20"/>
                <w:szCs w:val="20"/>
                <w:color w:val="auto"/>
              </w:rPr>
            </w:pPr>
            <w:r>
              <w:rPr>
                <w:rFonts w:ascii="Times New Roman" w:cs="Times New Roman" w:eastAsia="Times New Roman" w:hAnsi="Times New Roman"/>
                <w:sz w:val="15"/>
                <w:szCs w:val="15"/>
                <w:b w:val="1"/>
                <w:bCs w:val="1"/>
                <w:color w:val="auto"/>
              </w:rPr>
              <w:t>Value</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221"/>
        </w:trPr>
        <w:tc>
          <w:tcPr>
            <w:tcW w:w="3860" w:type="dxa"/>
            <w:vAlign w:val="bottom"/>
          </w:tcPr>
          <w:p>
            <w:pPr>
              <w:spacing w:after="0"/>
              <w:rPr>
                <w:sz w:val="19"/>
                <w:szCs w:val="19"/>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4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i w:val="1"/>
                <w:iCs w:val="1"/>
                <w:color w:val="auto"/>
              </w:rPr>
              <w:t>(in years)</w:t>
            </w:r>
          </w:p>
        </w:tc>
        <w:tc>
          <w:tcPr>
            <w:tcW w:w="120" w:type="dxa"/>
            <w:vAlign w:val="bottom"/>
          </w:tcPr>
          <w:p>
            <w:pPr>
              <w:spacing w:after="0"/>
              <w:rPr>
                <w:sz w:val="19"/>
                <w:szCs w:val="19"/>
                <w:color w:val="auto"/>
              </w:rPr>
            </w:pPr>
          </w:p>
        </w:tc>
        <w:tc>
          <w:tcPr>
            <w:tcW w:w="1640" w:type="dxa"/>
            <w:vAlign w:val="bottom"/>
          </w:tcPr>
          <w:p>
            <w:pPr>
              <w:jc w:val="center"/>
              <w:ind w:right="35"/>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0" w:type="dxa"/>
            <w:vAlign w:val="bottom"/>
          </w:tcPr>
          <w:p>
            <w:pPr>
              <w:spacing w:after="0"/>
              <w:rPr>
                <w:sz w:val="1"/>
                <w:szCs w:val="1"/>
                <w:color w:val="auto"/>
              </w:rPr>
            </w:pPr>
          </w:p>
        </w:tc>
      </w:tr>
      <w:tr>
        <w:trPr>
          <w:trHeight w:val="214"/>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2,606,592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66.39</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150,405</w:t>
            </w:r>
          </w:p>
        </w:tc>
        <w:tc>
          <w:tcPr>
            <w:tcW w:w="0" w:type="dxa"/>
            <w:vAlign w:val="bottom"/>
          </w:tcPr>
          <w:p>
            <w:pPr>
              <w:spacing w:after="0"/>
              <w:rPr>
                <w:sz w:val="1"/>
                <w:szCs w:val="1"/>
                <w:color w:val="auto"/>
              </w:rPr>
            </w:pPr>
          </w:p>
        </w:tc>
      </w:tr>
      <w:tr>
        <w:trPr>
          <w:trHeight w:val="221"/>
        </w:trPr>
        <w:tc>
          <w:tcPr>
            <w:tcW w:w="3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297,202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168.54</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Exercised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(489,152)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61.27</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Cancelled or 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(335,449)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70.52</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September 30,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2,079,193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81.53</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209,854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Exercisable as of September 30, 2024</w:t>
            </w: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867,025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63.68</w:t>
            </w: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6.7</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102,627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620" w:hanging="616"/>
        <w:spacing w:after="0" w:line="283" w:lineRule="auto"/>
        <w:tabs>
          <w:tab w:leader="none" w:pos="6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intrinsic value represents the difference between the closing stock price of our Common Stock on December 31, 2023 and September 30, 2024 and the exercise price of outstanding in-the-money options.</w:t>
      </w:r>
    </w:p>
    <w:p>
      <w:pPr>
        <w:spacing w:after="0" w:line="67"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The total intrinsic value (the amount by which the fair market value exceeds the exercise price) of stock options exercised was $4.8 million and $5.9 million during the three months ended September 30, 2025 and 2024, respectively, and $8.1 million and $50.2 million for the nine months ended September 30, 2025 and 2024, respectively.</w:t>
      </w:r>
    </w:p>
    <w:p>
      <w:pPr>
        <w:spacing w:after="0" w:line="60"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The weighted-average grant-date fair value per share of options granted to employees and directors was $108.46 and $130.85 during the three months ended September 30, 2025 and 2024, respectively, and $109.74 and $114.29 for the nine months ended September 30, 2025 and 2024, respectively.</w:t>
      </w:r>
    </w:p>
    <w:p>
      <w:pPr>
        <w:spacing w:after="0" w:line="42"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There was $66.3 million of unrecognized stock-based compensation expense related to employees’ and directors’ options that is expected to be recognized over a weighted-average period of 2.8 years as of September 30, 2025.</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Awards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Company’s RSA activity: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200" w:type="dxa"/>
            <w:vAlign w:val="bottom"/>
          </w:tcPr>
          <w:p>
            <w:pPr>
              <w:spacing w:after="0"/>
              <w:rPr>
                <w:sz w:val="14"/>
                <w:szCs w:val="14"/>
                <w:color w:val="auto"/>
              </w:rPr>
            </w:pPr>
          </w:p>
        </w:tc>
        <w:tc>
          <w:tcPr>
            <w:tcW w:w="1560" w:type="dxa"/>
            <w:vAlign w:val="bottom"/>
          </w:tcPr>
          <w:p>
            <w:pPr>
              <w:jc w:val="right"/>
              <w:ind w:right="113"/>
              <w:spacing w:after="0" w:line="163" w:lineRule="exact"/>
              <w:rPr>
                <w:sz w:val="20"/>
                <w:szCs w:val="20"/>
                <w:color w:val="auto"/>
              </w:rPr>
            </w:pPr>
            <w:r>
              <w:rPr>
                <w:rFonts w:ascii="Times New Roman" w:cs="Times New Roman" w:eastAsia="Times New Roman" w:hAnsi="Times New Roman"/>
                <w:sz w:val="17"/>
                <w:szCs w:val="17"/>
                <w:b w:val="1"/>
                <w:bCs w:val="1"/>
                <w:color w:val="auto"/>
                <w:w w:val="98"/>
              </w:rPr>
              <w:t>Weighted-Average</w:t>
            </w:r>
          </w:p>
        </w:tc>
        <w:tc>
          <w:tcPr>
            <w:tcW w:w="80" w:type="dxa"/>
            <w:vAlign w:val="bottom"/>
          </w:tcPr>
          <w:p>
            <w:pPr>
              <w:spacing w:after="0"/>
              <w:rPr>
                <w:sz w:val="14"/>
                <w:szCs w:val="14"/>
                <w:color w:val="auto"/>
              </w:rPr>
            </w:pPr>
          </w:p>
        </w:tc>
        <w:tc>
          <w:tcPr>
            <w:tcW w:w="1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80" w:type="dxa"/>
            <w:vAlign w:val="bottom"/>
          </w:tcPr>
          <w:p>
            <w:pPr>
              <w:spacing w:after="0"/>
              <w:rPr>
                <w:sz w:val="14"/>
                <w:szCs w:val="14"/>
                <w:color w:val="auto"/>
              </w:rPr>
            </w:pPr>
          </w:p>
        </w:tc>
        <w:tc>
          <w:tcPr>
            <w:tcW w:w="1580" w:type="dxa"/>
            <w:vAlign w:val="bottom"/>
          </w:tcPr>
          <w:p>
            <w:pPr>
              <w:jc w:val="right"/>
              <w:ind w:right="113"/>
              <w:spacing w:after="0" w:line="163" w:lineRule="exact"/>
              <w:rPr>
                <w:sz w:val="20"/>
                <w:szCs w:val="20"/>
                <w:color w:val="auto"/>
              </w:rPr>
            </w:pPr>
            <w:r>
              <w:rPr>
                <w:rFonts w:ascii="Times New Roman" w:cs="Times New Roman" w:eastAsia="Times New Roman" w:hAnsi="Times New Roman"/>
                <w:sz w:val="17"/>
                <w:szCs w:val="17"/>
                <w:b w:val="1"/>
                <w:bCs w:val="1"/>
                <w:color w:val="auto"/>
                <w:w w:val="99"/>
              </w:rPr>
              <w:t>Weighted-Average</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Grant Date Fair Value</w:t>
            </w:r>
          </w:p>
        </w:tc>
        <w:tc>
          <w:tcPr>
            <w:tcW w:w="1840" w:type="dxa"/>
            <w:vAlign w:val="bottom"/>
            <w:gridSpan w:val="2"/>
            <w:vMerge w:val="continue"/>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Grant Date Fair Value</w:t>
            </w:r>
          </w:p>
        </w:tc>
        <w:tc>
          <w:tcPr>
            <w:tcW w:w="0" w:type="dxa"/>
            <w:vAlign w:val="bottom"/>
          </w:tcPr>
          <w:p>
            <w:pPr>
              <w:spacing w:after="0"/>
              <w:rPr>
                <w:sz w:val="1"/>
                <w:szCs w:val="1"/>
                <w:color w:val="auto"/>
              </w:rPr>
            </w:pPr>
          </w:p>
        </w:tc>
      </w:tr>
      <w:tr>
        <w:trPr>
          <w:trHeight w:val="214"/>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RSAs, beginning of period</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78.89</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78.89</w:t>
            </w:r>
          </w:p>
        </w:tc>
        <w:tc>
          <w:tcPr>
            <w:tcW w:w="0" w:type="dxa"/>
            <w:vAlign w:val="bottom"/>
          </w:tcPr>
          <w:p>
            <w:pPr>
              <w:spacing w:after="0"/>
              <w:rPr>
                <w:sz w:val="1"/>
                <w:szCs w:val="1"/>
                <w:color w:val="auto"/>
              </w:rPr>
            </w:pPr>
          </w:p>
        </w:tc>
      </w:tr>
      <w:tr>
        <w:trPr>
          <w:trHeight w:val="221"/>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78.89</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78.89</w:t>
            </w:r>
          </w:p>
        </w:tc>
        <w:tc>
          <w:tcPr>
            <w:tcW w:w="0" w:type="dxa"/>
            <w:vAlign w:val="bottom"/>
          </w:tcPr>
          <w:p>
            <w:pPr>
              <w:spacing w:after="0"/>
              <w:rPr>
                <w:sz w:val="1"/>
                <w:szCs w:val="1"/>
                <w:color w:val="auto"/>
              </w:rPr>
            </w:pPr>
          </w:p>
        </w:tc>
      </w:tr>
      <w:tr>
        <w:trPr>
          <w:trHeight w:val="221"/>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Surrendered for taxes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78.89</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78.89</w:t>
            </w:r>
          </w:p>
        </w:tc>
        <w:tc>
          <w:tcPr>
            <w:tcW w:w="0" w:type="dxa"/>
            <w:vAlign w:val="bottom"/>
          </w:tcPr>
          <w:p>
            <w:pPr>
              <w:spacing w:after="0"/>
              <w:rPr>
                <w:sz w:val="1"/>
                <w:szCs w:val="1"/>
                <w:color w:val="auto"/>
              </w:rPr>
            </w:pPr>
          </w:p>
        </w:tc>
      </w:tr>
      <w:tr>
        <w:trPr>
          <w:trHeight w:val="239"/>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RSAs, end of period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3"/>
        </w:trPr>
        <w:tc>
          <w:tcPr>
            <w:tcW w:w="3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14</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4" w:name="page15"/>
    <w:bookmarkEnd w:id="14"/>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580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Company’s RSU activity:</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96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2000" w:type="dxa"/>
            <w:vAlign w:val="bottom"/>
            <w:tcBorders>
              <w:bottom w:val="single" w:sz="8" w:color="auto"/>
            </w:tcBorders>
            <w:gridSpan w:val="3"/>
          </w:tcPr>
          <w:p>
            <w:pPr>
              <w:ind w:left="16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60" w:type="dxa"/>
            <w:vAlign w:val="bottom"/>
          </w:tcPr>
          <w:p>
            <w:pPr>
              <w:spacing w:after="0"/>
              <w:rPr>
                <w:sz w:val="14"/>
                <w:szCs w:val="14"/>
                <w:color w:val="auto"/>
              </w:rPr>
            </w:pPr>
          </w:p>
        </w:tc>
        <w:tc>
          <w:tcPr>
            <w:tcW w:w="1580" w:type="dxa"/>
            <w:vAlign w:val="bottom"/>
          </w:tcPr>
          <w:p>
            <w:pPr>
              <w:jc w:val="right"/>
              <w:ind w:right="93"/>
              <w:spacing w:after="0" w:line="163" w:lineRule="exact"/>
              <w:rPr>
                <w:sz w:val="20"/>
                <w:szCs w:val="20"/>
                <w:color w:val="auto"/>
              </w:rPr>
            </w:pPr>
            <w:r>
              <w:rPr>
                <w:rFonts w:ascii="Times New Roman" w:cs="Times New Roman" w:eastAsia="Times New Roman" w:hAnsi="Times New Roman"/>
                <w:sz w:val="17"/>
                <w:szCs w:val="17"/>
                <w:b w:val="1"/>
                <w:bCs w:val="1"/>
                <w:color w:val="auto"/>
              </w:rPr>
              <w:t>Weighted-Average</w:t>
            </w:r>
          </w:p>
        </w:tc>
        <w:tc>
          <w:tcPr>
            <w:tcW w:w="100" w:type="dxa"/>
            <w:vAlign w:val="bottom"/>
          </w:tcPr>
          <w:p>
            <w:pPr>
              <w:spacing w:after="0"/>
              <w:rPr>
                <w:sz w:val="14"/>
                <w:szCs w:val="14"/>
                <w:color w:val="auto"/>
              </w:rPr>
            </w:pPr>
          </w:p>
        </w:tc>
        <w:tc>
          <w:tcPr>
            <w:tcW w:w="1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60" w:type="dxa"/>
            <w:vAlign w:val="bottom"/>
          </w:tcPr>
          <w:p>
            <w:pPr>
              <w:spacing w:after="0"/>
              <w:rPr>
                <w:sz w:val="14"/>
                <w:szCs w:val="14"/>
                <w:color w:val="auto"/>
              </w:rPr>
            </w:pPr>
          </w:p>
        </w:tc>
        <w:tc>
          <w:tcPr>
            <w:tcW w:w="1600" w:type="dxa"/>
            <w:vAlign w:val="bottom"/>
          </w:tcPr>
          <w:p>
            <w:pPr>
              <w:jc w:val="right"/>
              <w:ind w:right="113"/>
              <w:spacing w:after="0" w:line="163" w:lineRule="exact"/>
              <w:rPr>
                <w:sz w:val="20"/>
                <w:szCs w:val="20"/>
                <w:color w:val="auto"/>
              </w:rPr>
            </w:pPr>
            <w:r>
              <w:rPr>
                <w:rFonts w:ascii="Times New Roman" w:cs="Times New Roman" w:eastAsia="Times New Roman" w:hAnsi="Times New Roman"/>
                <w:sz w:val="17"/>
                <w:szCs w:val="17"/>
                <w:b w:val="1"/>
                <w:bCs w:val="1"/>
                <w:color w:val="auto"/>
              </w:rPr>
              <w:t>Weighted-Average</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Grant Date Fair Value</w:t>
            </w:r>
          </w:p>
        </w:tc>
        <w:tc>
          <w:tcPr>
            <w:tcW w:w="1840" w:type="dxa"/>
            <w:vAlign w:val="bottom"/>
            <w:gridSpan w:val="2"/>
            <w:vMerge w:val="continue"/>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Grant Date Fair Value</w:t>
            </w:r>
          </w:p>
        </w:tc>
        <w:tc>
          <w:tcPr>
            <w:tcW w:w="0" w:type="dxa"/>
            <w:vAlign w:val="bottom"/>
          </w:tcPr>
          <w:p>
            <w:pPr>
              <w:spacing w:after="0"/>
              <w:rPr>
                <w:sz w:val="1"/>
                <w:szCs w:val="1"/>
                <w:color w:val="auto"/>
              </w:rPr>
            </w:pPr>
          </w:p>
        </w:tc>
      </w:tr>
      <w:tr>
        <w:trPr>
          <w:trHeight w:val="214"/>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RSUs, beginning of period</w:t>
            </w:r>
          </w:p>
        </w:tc>
        <w:tc>
          <w:tcPr>
            <w:tcW w:w="174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308,096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135.22</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160,900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81.91</w:t>
            </w:r>
          </w:p>
        </w:tc>
        <w:tc>
          <w:tcPr>
            <w:tcW w:w="0" w:type="dxa"/>
            <w:vAlign w:val="bottom"/>
          </w:tcPr>
          <w:p>
            <w:pPr>
              <w:spacing w:after="0"/>
              <w:rPr>
                <w:sz w:val="1"/>
                <w:szCs w:val="1"/>
                <w:color w:val="auto"/>
              </w:rPr>
            </w:pPr>
          </w:p>
        </w:tc>
      </w:tr>
      <w:tr>
        <w:trPr>
          <w:trHeight w:val="221"/>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74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136,756</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177.91</w:t>
            </w:r>
          </w:p>
        </w:tc>
        <w:tc>
          <w:tcPr>
            <w:tcW w:w="100" w:type="dxa"/>
            <w:vAlign w:val="bottom"/>
          </w:tcPr>
          <w:p>
            <w:pPr>
              <w:spacing w:after="0"/>
              <w:rPr>
                <w:sz w:val="19"/>
                <w:szCs w:val="19"/>
                <w:color w:val="auto"/>
              </w:rPr>
            </w:pPr>
          </w:p>
        </w:tc>
        <w:tc>
          <w:tcPr>
            <w:tcW w:w="176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225,290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159.63</w:t>
            </w:r>
          </w:p>
        </w:tc>
        <w:tc>
          <w:tcPr>
            <w:tcW w:w="0" w:type="dxa"/>
            <w:vAlign w:val="bottom"/>
          </w:tcPr>
          <w:p>
            <w:pPr>
              <w:spacing w:after="0"/>
              <w:rPr>
                <w:sz w:val="1"/>
                <w:szCs w:val="1"/>
                <w:color w:val="auto"/>
              </w:rPr>
            </w:pPr>
          </w:p>
        </w:tc>
      </w:tr>
      <w:tr>
        <w:trPr>
          <w:trHeight w:val="221"/>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1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(84,254)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(40,075)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81.91</w:t>
            </w:r>
          </w:p>
        </w:tc>
        <w:tc>
          <w:tcPr>
            <w:tcW w:w="0" w:type="dxa"/>
            <w:vAlign w:val="bottom"/>
          </w:tcPr>
          <w:p>
            <w:pPr>
              <w:spacing w:after="0"/>
              <w:rPr>
                <w:sz w:val="1"/>
                <w:szCs w:val="1"/>
                <w:color w:val="auto"/>
              </w:rPr>
            </w:pPr>
          </w:p>
        </w:tc>
      </w:tr>
      <w:tr>
        <w:trPr>
          <w:trHeight w:val="221"/>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17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7"/>
                <w:szCs w:val="17"/>
                <w:color w:val="auto"/>
              </w:rPr>
              <w:t>(30,506)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153.81</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7"/>
                <w:szCs w:val="17"/>
                <w:color w:val="auto"/>
              </w:rPr>
              <w:t>(36,562)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110.11</w:t>
            </w:r>
          </w:p>
        </w:tc>
        <w:tc>
          <w:tcPr>
            <w:tcW w:w="0" w:type="dxa"/>
            <w:vAlign w:val="bottom"/>
          </w:tcPr>
          <w:p>
            <w:pPr>
              <w:spacing w:after="0"/>
              <w:rPr>
                <w:sz w:val="1"/>
                <w:szCs w:val="1"/>
                <w:color w:val="auto"/>
              </w:rPr>
            </w:pPr>
          </w:p>
        </w:tc>
      </w:tr>
      <w:tr>
        <w:trPr>
          <w:trHeight w:val="239"/>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RSUs, end of period</w:t>
            </w:r>
          </w:p>
        </w:tc>
        <w:tc>
          <w:tcPr>
            <w:tcW w:w="17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330,092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152.61</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309,553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There was $41.2 million of unrecognized stock-based compensation expense related to employees’ RSU awards that is expected to be recognized over a weighted-average period of 2.8 years as of September 30, 2025.</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Performance-Based Restricted Stock Units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Company’s PSU activity: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60" w:type="dxa"/>
            <w:vAlign w:val="bottom"/>
          </w:tcPr>
          <w:p>
            <w:pPr>
              <w:spacing w:after="0"/>
              <w:rPr>
                <w:sz w:val="14"/>
                <w:szCs w:val="14"/>
                <w:color w:val="auto"/>
              </w:rPr>
            </w:pPr>
          </w:p>
        </w:tc>
        <w:tc>
          <w:tcPr>
            <w:tcW w:w="1580" w:type="dxa"/>
            <w:vAlign w:val="bottom"/>
          </w:tcPr>
          <w:p>
            <w:pPr>
              <w:jc w:val="right"/>
              <w:ind w:right="93"/>
              <w:spacing w:after="0" w:line="163" w:lineRule="exact"/>
              <w:rPr>
                <w:sz w:val="20"/>
                <w:szCs w:val="20"/>
                <w:color w:val="auto"/>
              </w:rPr>
            </w:pPr>
            <w:r>
              <w:rPr>
                <w:rFonts w:ascii="Times New Roman" w:cs="Times New Roman" w:eastAsia="Times New Roman" w:hAnsi="Times New Roman"/>
                <w:sz w:val="17"/>
                <w:szCs w:val="17"/>
                <w:b w:val="1"/>
                <w:bCs w:val="1"/>
                <w:color w:val="auto"/>
              </w:rPr>
              <w:t>Weighted-Average</w:t>
            </w:r>
          </w:p>
        </w:tc>
        <w:tc>
          <w:tcPr>
            <w:tcW w:w="100" w:type="dxa"/>
            <w:vAlign w:val="bottom"/>
          </w:tcPr>
          <w:p>
            <w:pPr>
              <w:spacing w:after="0"/>
              <w:rPr>
                <w:sz w:val="14"/>
                <w:szCs w:val="14"/>
                <w:color w:val="auto"/>
              </w:rPr>
            </w:pPr>
          </w:p>
        </w:tc>
        <w:tc>
          <w:tcPr>
            <w:tcW w:w="1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60" w:type="dxa"/>
            <w:vAlign w:val="bottom"/>
          </w:tcPr>
          <w:p>
            <w:pPr>
              <w:spacing w:after="0"/>
              <w:rPr>
                <w:sz w:val="14"/>
                <w:szCs w:val="14"/>
                <w:color w:val="auto"/>
              </w:rPr>
            </w:pPr>
          </w:p>
        </w:tc>
        <w:tc>
          <w:tcPr>
            <w:tcW w:w="1600" w:type="dxa"/>
            <w:vAlign w:val="bottom"/>
          </w:tcPr>
          <w:p>
            <w:pPr>
              <w:jc w:val="right"/>
              <w:ind w:right="113"/>
              <w:spacing w:after="0" w:line="163" w:lineRule="exact"/>
              <w:rPr>
                <w:sz w:val="20"/>
                <w:szCs w:val="20"/>
                <w:color w:val="auto"/>
              </w:rPr>
            </w:pPr>
            <w:r>
              <w:rPr>
                <w:rFonts w:ascii="Times New Roman" w:cs="Times New Roman" w:eastAsia="Times New Roman" w:hAnsi="Times New Roman"/>
                <w:sz w:val="17"/>
                <w:szCs w:val="17"/>
                <w:b w:val="1"/>
                <w:bCs w:val="1"/>
                <w:color w:val="auto"/>
              </w:rPr>
              <w:t>Weighted-Average</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Grant Date Fair Value</w:t>
            </w:r>
          </w:p>
        </w:tc>
        <w:tc>
          <w:tcPr>
            <w:tcW w:w="1840" w:type="dxa"/>
            <w:vAlign w:val="bottom"/>
            <w:gridSpan w:val="2"/>
            <w:vMerge w:val="continue"/>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Grant Date Fair Value</w:t>
            </w:r>
          </w:p>
        </w:tc>
        <w:tc>
          <w:tcPr>
            <w:tcW w:w="0" w:type="dxa"/>
            <w:vAlign w:val="bottom"/>
          </w:tcPr>
          <w:p>
            <w:pPr>
              <w:spacing w:after="0"/>
              <w:rPr>
                <w:sz w:val="1"/>
                <w:szCs w:val="1"/>
                <w:color w:val="auto"/>
              </w:rPr>
            </w:pPr>
          </w:p>
        </w:tc>
      </w:tr>
      <w:tr>
        <w:trPr>
          <w:trHeight w:val="214"/>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PSUs, beginning of period</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145.37</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81.91</w:t>
            </w:r>
          </w:p>
        </w:tc>
        <w:tc>
          <w:tcPr>
            <w:tcW w:w="0" w:type="dxa"/>
            <w:vAlign w:val="bottom"/>
          </w:tcPr>
          <w:p>
            <w:pPr>
              <w:spacing w:after="0"/>
              <w:rPr>
                <w:sz w:val="1"/>
                <w:szCs w:val="1"/>
                <w:color w:val="auto"/>
              </w:rPr>
            </w:pPr>
          </w:p>
        </w:tc>
      </w:tr>
      <w:tr>
        <w:trPr>
          <w:trHeight w:val="221"/>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159.47</w:t>
            </w:r>
          </w:p>
        </w:tc>
        <w:tc>
          <w:tcPr>
            <w:tcW w:w="0" w:type="dxa"/>
            <w:vAlign w:val="bottom"/>
          </w:tcPr>
          <w:p>
            <w:pPr>
              <w:spacing w:after="0"/>
              <w:rPr>
                <w:sz w:val="1"/>
                <w:szCs w:val="1"/>
                <w:color w:val="auto"/>
              </w:rPr>
            </w:pPr>
          </w:p>
        </w:tc>
      </w:tr>
      <w:tr>
        <w:trPr>
          <w:trHeight w:val="221"/>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81.91</w:t>
            </w:r>
          </w:p>
        </w:tc>
        <w:tc>
          <w:tcPr>
            <w:tcW w:w="0" w:type="dxa"/>
            <w:vAlign w:val="bottom"/>
          </w:tcPr>
          <w:p>
            <w:pPr>
              <w:spacing w:after="0"/>
              <w:rPr>
                <w:sz w:val="1"/>
                <w:szCs w:val="1"/>
                <w:color w:val="auto"/>
              </w:rPr>
            </w:pPr>
          </w:p>
        </w:tc>
      </w:tr>
      <w:tr>
        <w:trPr>
          <w:trHeight w:val="221"/>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PSUs, end of period</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PSUs vest ratably over two years based upon continued service through the vesting date and the achievement of specific regulatory and commercial performance criteria as determined by the Compensation Committee of the Company’s Board of Directors which were met by the end of the year in which the PSU awards were granted.</w:t>
      </w:r>
    </w:p>
    <w:p>
      <w:pPr>
        <w:spacing w:after="0" w:line="60"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There was $3.7 million of unrecognized stock-based compensation expense related to employees’ PSU awards that is expected to be recognized over a weighted-average period of five months as of September 30, 2025.</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 Net</w:t>
      </w:r>
    </w:p>
    <w:p>
      <w:pPr>
        <w:spacing w:after="0" w:line="121"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The Company recorded stock-based compensation expense, net related to its stock options and restricted stock in the condensed consolidated statements of operations and comprehensive income for the three and nine months ended September 30, 2025 and 2024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20" w:type="dxa"/>
            <w:vAlign w:val="bottom"/>
          </w:tcPr>
          <w:p>
            <w:pPr>
              <w:spacing w:after="0"/>
              <w:rPr>
                <w:sz w:val="19"/>
                <w:szCs w:val="19"/>
                <w:color w:val="auto"/>
              </w:rPr>
            </w:pPr>
          </w:p>
        </w:tc>
        <w:tc>
          <w:tcPr>
            <w:tcW w:w="3280" w:type="dxa"/>
            <w:vAlign w:val="bottom"/>
            <w:gridSpan w:val="4"/>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5"/>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top w:val="single" w:sz="8" w:color="auto"/>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2,267</w:t>
            </w:r>
          </w:p>
        </w:tc>
        <w:tc>
          <w:tcPr>
            <w:tcW w:w="80" w:type="dxa"/>
            <w:vAlign w:val="bottom"/>
            <w:shd w:val="clear" w:color="auto" w:fill="CFF0FC"/>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6,907</w:t>
            </w:r>
          </w:p>
        </w:tc>
      </w:tr>
      <w:tr>
        <w:trPr>
          <w:trHeight w:val="221"/>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11,049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33,071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28,864</w:t>
            </w:r>
          </w:p>
        </w:tc>
      </w:tr>
      <w:tr>
        <w:trPr>
          <w:trHeight w:val="239"/>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40,750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35,771</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The Company capitalized stock-based compensation associated with the allocation of labor costs related to work performed to manufacture VYJUVEK of $1.1 million and $946 thousand for the three months ended September 30, 2025 and 2024, respectively, and $3.0 million and $2.3 million for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119"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The Company recorded an income tax benefit of $31.4 million and $15.1 million for the three and nine months ended September 30, 2025, respectively. The tax benefit for interim periods is calculated using an estimate of the annual effective tax rate, adjusted for discrete items. If there are any changes to the estimated annual effective tax rate, the Company will make a cumulative adjustment to the income tax provision in the period the change becomes known. The Company recorded an income tax provision of $2.6 million and $3.1 million for the three and nine months ended September 30, 2024, respectively.</w:t>
      </w:r>
    </w:p>
    <w:p>
      <w:pPr>
        <w:spacing w:after="0" w:line="65" w:lineRule="exact"/>
        <w:rPr>
          <w:sz w:val="20"/>
          <w:szCs w:val="20"/>
          <w:color w:val="auto"/>
        </w:rPr>
      </w:pPr>
    </w:p>
    <w:p>
      <w:pPr>
        <w:ind w:right="60" w:firstLine="625"/>
        <w:spacing w:after="0" w:line="262" w:lineRule="auto"/>
        <w:rPr>
          <w:sz w:val="20"/>
          <w:szCs w:val="20"/>
          <w:color w:val="auto"/>
        </w:rPr>
      </w:pPr>
      <w:r>
        <w:rPr>
          <w:rFonts w:ascii="Times New Roman" w:cs="Times New Roman" w:eastAsia="Times New Roman" w:hAnsi="Times New Roman"/>
          <w:sz w:val="17"/>
          <w:szCs w:val="17"/>
          <w:color w:val="auto"/>
        </w:rPr>
        <w:t>We monitor the realizability of our deferred tax assets taking into consideration all relevant factors at each reporting period. As of September 30, 2025, based on the relevant weight of positive and negative evidence, including the amount of our income in recent years and the impacts of legislation enacted during the quarter which had material impacts to our deferred tax profile, which are objective and verifiable, as well as consideration of our expected future taxable earnings, we concluded that it is more likely than not that our U.S. federal and certain state deferred tax assets are realizable. As such, we released $48.4 million of our valuation allowance associated with the U.S. federal and state deferred tax assets, except for those related to certain state net operating loss carryforwards and tax credit carryforwards. We continue to maintain a full valuation allowance against certain state attributes as of September 30, 2025, because we concluded they are not more likely than not to be realized as we expect certain state attribute generation in future years to exceed our ability to use these deferred tax assets.</w:t>
      </w:r>
    </w:p>
    <w:p>
      <w:pPr>
        <w:spacing w:after="0" w:line="69"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We are subject to income taxes in the U.S. and in many foreign jurisdictions. Significant judgment is required in determining our provision for income taxes, our deferred tax assets and liabilities and any valuation allowance recorded against our net deferred tax assets that are not more likely than not to be realized. The determination of the realizability of deferred tax assets requires significant judgment in assessing the likelihood of future tax consequences. We also rely on our assessment of the Company’s projected future results of business operations, including uncertainty in future operating results relative to historical results being less prevalent, variable conditions impacting our ability to forecast future taxable income such as projected spend for research and development, and changes in business that may affect the existence and magnitude of future taxable income. Our valuation allowance assessment is based on our best estimate of future results considering all available information. The Company previously maintained a full valuation allowance against its U.S. federal and state deferred tax assets due to historical cumulative losses and uncertainty regarding the realization of such assets. The Company will continue to evaluate all available evidence each reporting period and may adjust the valuation allowance in future periods if estimates of future taxable income or other relevant factors change.</w:t>
      </w:r>
    </w:p>
    <w:p>
      <w:pPr>
        <w:spacing w:after="0" w:line="200" w:lineRule="exact"/>
        <w:rPr>
          <w:sz w:val="20"/>
          <w:szCs w:val="20"/>
          <w:color w:val="auto"/>
        </w:rPr>
      </w:pPr>
    </w:p>
    <w:p>
      <w:pPr>
        <w:spacing w:after="0" w:line="30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6" w:name="page17"/>
    <w:bookmarkEnd w:id="16"/>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tab/>
        <w:t>Segment Information</w:t>
      </w:r>
    </w:p>
    <w:p>
      <w:pPr>
        <w:spacing w:after="0" w:line="119" w:lineRule="exact"/>
        <w:rPr>
          <w:sz w:val="20"/>
          <w:szCs w:val="20"/>
          <w:color w:val="auto"/>
        </w:rPr>
      </w:pPr>
    </w:p>
    <w:p>
      <w:pPr>
        <w:ind w:right="320" w:firstLine="625"/>
        <w:spacing w:after="0" w:line="265" w:lineRule="auto"/>
        <w:rPr>
          <w:sz w:val="20"/>
          <w:szCs w:val="20"/>
          <w:color w:val="auto"/>
        </w:rPr>
      </w:pPr>
      <w:r>
        <w:rPr>
          <w:rFonts w:ascii="Times New Roman" w:cs="Times New Roman" w:eastAsia="Times New Roman" w:hAnsi="Times New Roman"/>
          <w:sz w:val="17"/>
          <w:szCs w:val="17"/>
          <w:color w:val="auto"/>
        </w:rPr>
        <w:t>The Company operates as one operating segment, which is focused on the discovery, development, manufacturing and commercialization of genetic medicines to treat diseases with high unmet medical needs. The Company’s chief operating decision maker (“CODM”), our chief executive officer, utilizes financial information presented on a consolidated basis to manage and allocate resources. The CODM uses consolidated gross margin, operating margin, net income and total research and development expenses by product candidate or program to assess performance, forecast future financial results and to allocate resources.</w:t>
      </w:r>
    </w:p>
    <w:p>
      <w:pPr>
        <w:spacing w:after="0" w:line="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selected financial information with respect to the Company’s single operating segment for the three and nine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2025, and 2024:</w:t>
      </w:r>
    </w:p>
    <w:p>
      <w:pPr>
        <w:spacing w:after="0" w:line="200" w:lineRule="exact"/>
        <w:rPr>
          <w:sz w:val="20"/>
          <w:szCs w:val="20"/>
          <w:color w:val="auto"/>
        </w:rPr>
      </w:pPr>
    </w:p>
    <w:p>
      <w:pPr>
        <w:spacing w:after="0" w:line="274" w:lineRule="exact"/>
        <w:rPr>
          <w:sz w:val="20"/>
          <w:szCs w:val="20"/>
          <w:color w:val="auto"/>
        </w:rPr>
      </w:pPr>
    </w:p>
    <w:tbl>
      <w:tblPr>
        <w:tblLayout w:type="fixed"/>
        <w:tblInd w:w="620" w:type="dxa"/>
        <w:tblCellMar>
          <w:top w:w="0" w:type="dxa"/>
          <w:left w:w="0" w:type="dxa"/>
          <w:bottom w:w="0" w:type="dxa"/>
          <w:right w:w="0" w:type="dxa"/>
        </w:tblCellMar>
      </w:tblPr>
      <w:tr>
        <w:trPr>
          <w:trHeight w:val="229"/>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5"/>
          </w:tcPr>
          <w:p>
            <w:pPr>
              <w:ind w:left="5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40" w:type="dxa"/>
            <w:vAlign w:val="bottom"/>
          </w:tcPr>
          <w:p>
            <w:pPr>
              <w:spacing w:after="0"/>
              <w:rPr>
                <w:sz w:val="19"/>
                <w:szCs w:val="19"/>
                <w:color w:val="auto"/>
              </w:rPr>
            </w:pPr>
          </w:p>
        </w:tc>
        <w:tc>
          <w:tcPr>
            <w:tcW w:w="2820" w:type="dxa"/>
            <w:vAlign w:val="bottom"/>
            <w:gridSpan w:val="4"/>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162"/>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
              <w:spacing w:after="0" w:line="163"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13"/>
              <w:spacing w:after="0" w:line="163"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line="163"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93"/>
              <w:spacing w:after="0" w:line="163"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34"/>
        </w:trPr>
        <w:tc>
          <w:tcPr>
            <w:tcW w:w="44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Product revenue,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97,800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83,841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282,025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199,376</w:t>
            </w:r>
          </w:p>
        </w:tc>
        <w:tc>
          <w:tcPr>
            <w:tcW w:w="0" w:type="dxa"/>
            <w:vAlign w:val="bottom"/>
          </w:tcPr>
          <w:p>
            <w:pPr>
              <w:spacing w:after="0"/>
              <w:rPr>
                <w:sz w:val="1"/>
                <w:szCs w:val="1"/>
                <w:color w:val="auto"/>
              </w:rPr>
            </w:pPr>
          </w:p>
        </w:tc>
      </w:tr>
      <w:tr>
        <w:trPr>
          <w:trHeight w:val="221"/>
        </w:trPr>
        <w:tc>
          <w:tcPr>
            <w:tcW w:w="4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Cost of goods sold</w:t>
            </w:r>
          </w:p>
        </w:tc>
        <w:tc>
          <w:tcPr>
            <w:tcW w:w="1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6,684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16,457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15,112</w:t>
            </w: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Gross margin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0" w:type="dxa"/>
            <w:vAlign w:val="bottom"/>
          </w:tcPr>
          <w:p>
            <w:pPr>
              <w:spacing w:after="0"/>
              <w:rPr>
                <w:sz w:val="1"/>
                <w:szCs w:val="1"/>
                <w:color w:val="auto"/>
              </w:rPr>
            </w:pPr>
          </w:p>
        </w:tc>
      </w:tr>
      <w:tr>
        <w:trPr>
          <w:trHeight w:val="221"/>
        </w:trPr>
        <w:tc>
          <w:tcPr>
            <w:tcW w:w="44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B-VEC</w:t>
            </w:r>
          </w:p>
        </w:tc>
        <w:tc>
          <w:tcPr>
            <w:tcW w:w="1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1,810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1,255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6,144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7,068</w:t>
            </w: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KB111</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44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KB301</w:t>
            </w:r>
          </w:p>
        </w:tc>
        <w:tc>
          <w:tcPr>
            <w:tcW w:w="1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521</w:t>
            </w: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KB304</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906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1,146</w:t>
            </w:r>
          </w:p>
        </w:tc>
        <w:tc>
          <w:tcPr>
            <w:tcW w:w="0" w:type="dxa"/>
            <w:vAlign w:val="bottom"/>
          </w:tcPr>
          <w:p>
            <w:pPr>
              <w:spacing w:after="0"/>
              <w:rPr>
                <w:sz w:val="1"/>
                <w:szCs w:val="1"/>
                <w:color w:val="auto"/>
              </w:rPr>
            </w:pPr>
          </w:p>
        </w:tc>
      </w:tr>
      <w:tr>
        <w:trPr>
          <w:trHeight w:val="221"/>
        </w:trPr>
        <w:tc>
          <w:tcPr>
            <w:tcW w:w="44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KB407</w:t>
            </w:r>
          </w:p>
        </w:tc>
        <w:tc>
          <w:tcPr>
            <w:tcW w:w="1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1,272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1,631</w:t>
            </w: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KB408</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611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763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1,107</w:t>
            </w:r>
          </w:p>
        </w:tc>
        <w:tc>
          <w:tcPr>
            <w:tcW w:w="0" w:type="dxa"/>
            <w:vAlign w:val="bottom"/>
          </w:tcPr>
          <w:p>
            <w:pPr>
              <w:spacing w:after="0"/>
              <w:rPr>
                <w:sz w:val="1"/>
                <w:szCs w:val="1"/>
                <w:color w:val="auto"/>
              </w:rPr>
            </w:pPr>
          </w:p>
        </w:tc>
      </w:tr>
      <w:tr>
        <w:trPr>
          <w:trHeight w:val="221"/>
        </w:trPr>
        <w:tc>
          <w:tcPr>
            <w:tcW w:w="44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KB707</w:t>
            </w:r>
          </w:p>
        </w:tc>
        <w:tc>
          <w:tcPr>
            <w:tcW w:w="1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3,311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8,342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6,469</w:t>
            </w: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KB801</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1,233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372</w:t>
            </w:r>
          </w:p>
        </w:tc>
        <w:tc>
          <w:tcPr>
            <w:tcW w:w="0" w:type="dxa"/>
            <w:vAlign w:val="bottom"/>
          </w:tcPr>
          <w:p>
            <w:pPr>
              <w:spacing w:after="0"/>
              <w:rPr>
                <w:sz w:val="1"/>
                <w:szCs w:val="1"/>
                <w:color w:val="auto"/>
              </w:rPr>
            </w:pPr>
          </w:p>
        </w:tc>
      </w:tr>
      <w:tr>
        <w:trPr>
          <w:trHeight w:val="221"/>
        </w:trPr>
        <w:tc>
          <w:tcPr>
            <w:tcW w:w="44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KB803</w:t>
            </w:r>
          </w:p>
        </w:tc>
        <w:tc>
          <w:tcPr>
            <w:tcW w:w="1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394</w:t>
            </w: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Other dermatology programs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484</w:t>
            </w:r>
          </w:p>
        </w:tc>
        <w:tc>
          <w:tcPr>
            <w:tcW w:w="0" w:type="dxa"/>
            <w:vAlign w:val="bottom"/>
          </w:tcPr>
          <w:p>
            <w:pPr>
              <w:spacing w:after="0"/>
              <w:rPr>
                <w:sz w:val="1"/>
                <w:szCs w:val="1"/>
                <w:color w:val="auto"/>
              </w:rPr>
            </w:pPr>
          </w:p>
        </w:tc>
      </w:tr>
      <w:tr>
        <w:trPr>
          <w:trHeight w:val="221"/>
        </w:trPr>
        <w:tc>
          <w:tcPr>
            <w:tcW w:w="44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 ophthalmology programs</w:t>
            </w:r>
          </w:p>
        </w:tc>
        <w:tc>
          <w:tcPr>
            <w:tcW w:w="1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430</w:t>
            </w: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Other research programs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890</w:t>
            </w:r>
          </w:p>
        </w:tc>
        <w:tc>
          <w:tcPr>
            <w:tcW w:w="0" w:type="dxa"/>
            <w:vAlign w:val="bottom"/>
          </w:tcPr>
          <w:p>
            <w:pPr>
              <w:spacing w:after="0"/>
              <w:rPr>
                <w:sz w:val="1"/>
                <w:szCs w:val="1"/>
                <w:color w:val="auto"/>
              </w:rPr>
            </w:pPr>
          </w:p>
        </w:tc>
      </w:tr>
      <w:tr>
        <w:trPr>
          <w:trHeight w:val="221"/>
        </w:trPr>
        <w:tc>
          <w:tcPr>
            <w:tcW w:w="44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 development programs</w:t>
            </w:r>
          </w:p>
        </w:tc>
        <w:tc>
          <w:tcPr>
            <w:tcW w:w="1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596</w:t>
            </w: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380"/>
              <w:spacing w:after="0" w:line="222" w:lineRule="exact"/>
              <w:rPr>
                <w:sz w:val="20"/>
                <w:szCs w:val="20"/>
                <w:color w:val="auto"/>
              </w:rPr>
            </w:pPr>
            <w:r>
              <w:rPr>
                <w:rFonts w:ascii="Times New Roman" w:cs="Times New Roman" w:eastAsia="Times New Roman" w:hAnsi="Times New Roman"/>
                <w:sz w:val="17"/>
                <w:szCs w:val="17"/>
                <w:color w:val="auto"/>
              </w:rPr>
              <w:t xml:space="preserve">Other research and development costs </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6,444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6,477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19,950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18,944</w:t>
            </w:r>
          </w:p>
        </w:tc>
        <w:tc>
          <w:tcPr>
            <w:tcW w:w="0" w:type="dxa"/>
            <w:vAlign w:val="bottom"/>
          </w:tcPr>
          <w:p>
            <w:pPr>
              <w:spacing w:after="0"/>
              <w:rPr>
                <w:sz w:val="1"/>
                <w:szCs w:val="1"/>
                <w:color w:val="auto"/>
              </w:rPr>
            </w:pPr>
          </w:p>
        </w:tc>
      </w:tr>
      <w:tr>
        <w:trPr>
          <w:trHeight w:val="214"/>
        </w:trPr>
        <w:tc>
          <w:tcPr>
            <w:tcW w:w="4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research and development</w:t>
            </w:r>
          </w:p>
        </w:tc>
        <w:tc>
          <w:tcPr>
            <w:tcW w:w="16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14,585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13,512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43,251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40,052</w:t>
            </w: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37,578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28,673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105,292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82,339</w:t>
            </w:r>
          </w:p>
        </w:tc>
        <w:tc>
          <w:tcPr>
            <w:tcW w:w="0" w:type="dxa"/>
            <w:vAlign w:val="bottom"/>
          </w:tcPr>
          <w:p>
            <w:pPr>
              <w:spacing w:after="0"/>
              <w:rPr>
                <w:sz w:val="1"/>
                <w:szCs w:val="1"/>
                <w:color w:val="auto"/>
              </w:rPr>
            </w:pPr>
          </w:p>
        </w:tc>
      </w:tr>
      <w:tr>
        <w:trPr>
          <w:trHeight w:val="221"/>
        </w:trPr>
        <w:tc>
          <w:tcPr>
            <w:tcW w:w="4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Litigation settlement</w:t>
            </w:r>
          </w:p>
        </w:tc>
        <w:tc>
          <w:tcPr>
            <w:tcW w:w="16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12,500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37,500</w:t>
            </w: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41,374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22,472</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117,025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24,373</w:t>
            </w:r>
          </w:p>
        </w:tc>
        <w:tc>
          <w:tcPr>
            <w:tcW w:w="0" w:type="dxa"/>
            <w:vAlign w:val="bottom"/>
          </w:tcPr>
          <w:p>
            <w:pPr>
              <w:spacing w:after="0"/>
              <w:rPr>
                <w:sz w:val="1"/>
                <w:szCs w:val="1"/>
                <w:color w:val="auto"/>
              </w:rPr>
            </w:pPr>
          </w:p>
        </w:tc>
      </w:tr>
      <w:tr>
        <w:trPr>
          <w:trHeight w:val="227"/>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Other income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6,593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7,297</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21,315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22,373</w:t>
            </w: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47,967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29,769</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138,340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46,746</w:t>
            </w:r>
          </w:p>
        </w:tc>
        <w:tc>
          <w:tcPr>
            <w:tcW w:w="0" w:type="dxa"/>
            <w:vAlign w:val="bottom"/>
          </w:tcPr>
          <w:p>
            <w:pPr>
              <w:spacing w:after="0"/>
              <w:rPr>
                <w:sz w:val="1"/>
                <w:szCs w:val="1"/>
                <w:color w:val="auto"/>
              </w:rPr>
            </w:pPr>
          </w:p>
        </w:tc>
      </w:tr>
      <w:tr>
        <w:trPr>
          <w:trHeight w:val="214"/>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31,398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(2,589)</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15,091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(3,066)</w:t>
            </w:r>
          </w:p>
        </w:tc>
        <w:tc>
          <w:tcPr>
            <w:tcW w:w="0" w:type="dxa"/>
            <w:vAlign w:val="bottom"/>
          </w:tcPr>
          <w:p>
            <w:pPr>
              <w:spacing w:after="0"/>
              <w:rPr>
                <w:sz w:val="1"/>
                <w:szCs w:val="1"/>
                <w:color w:val="auto"/>
              </w:rPr>
            </w:pPr>
          </w:p>
        </w:tc>
      </w:tr>
      <w:tr>
        <w:trPr>
          <w:trHeight w:val="239"/>
        </w:trPr>
        <w:tc>
          <w:tcPr>
            <w:tcW w:w="44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79,365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27,180</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153,431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43,680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620" w:hanging="616"/>
        <w:spacing w:after="0" w:line="245" w:lineRule="auto"/>
        <w:tabs>
          <w:tab w:leader="none" w:pos="6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Includes stock-based compensation, other manufacturing expenses related to our product candidates and other unallocated expenses which largely relates to depreciation and other facilities and equipment related costs.</w:t>
      </w:r>
    </w:p>
    <w:p>
      <w:pPr>
        <w:spacing w:after="0" w:line="29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12.</w:t>
        <w:tab/>
        <w:t>Subsequent Events</w:t>
      </w:r>
    </w:p>
    <w:p>
      <w:pPr>
        <w:spacing w:after="0" w:line="119"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The Company evaluates events or transactions that occur after the balance sheet date, but prior to the issuance of the financial statements, to identify matters that require recognition or disclosure. The Company concluded that no subsequent events have occurred, that would require recognition or disclosure in the condensed consolidated financial statements except as discussed above.</w:t>
      </w:r>
    </w:p>
    <w:p>
      <w:pPr>
        <w:spacing w:after="0" w:line="200" w:lineRule="exact"/>
        <w:rPr>
          <w:sz w:val="20"/>
          <w:szCs w:val="20"/>
          <w:color w:val="auto"/>
        </w:rPr>
      </w:pPr>
    </w:p>
    <w:p>
      <w:pPr>
        <w:spacing w:after="0" w:line="29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7" w:name="page18"/>
    <w:bookmarkEnd w:id="17"/>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7" w:lineRule="exact"/>
        <w:rPr>
          <w:sz w:val="20"/>
          <w:szCs w:val="20"/>
          <w:color w:val="auto"/>
        </w:rPr>
      </w:pPr>
    </w:p>
    <w:p>
      <w:pPr>
        <w:jc w:val="both"/>
        <w:ind w:firstLine="625"/>
        <w:spacing w:after="0" w:line="26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together with the unaudited condensed consolidated financial statements and related notes included in Item 1 of Part I of this Quarterly Report on Form 10-Q and with the audited financial statements and the related notes included in our Annual Report on Form 10-K for the fiscal year ended December 31, 2024 (the “2024 10-K”), as filed with the SEC on February 19, 2025.</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19" w:lineRule="exact"/>
        <w:rPr>
          <w:sz w:val="20"/>
          <w:szCs w:val="20"/>
          <w:color w:val="auto"/>
        </w:rPr>
      </w:pPr>
    </w:p>
    <w:p>
      <w:pPr>
        <w:jc w:val="both"/>
        <w:ind w:firstLine="625"/>
        <w:spacing w:after="0" w:line="262"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include all statements that are not historical facts and can be identified by terms such as “anticipate,” “believe,” “continue,” “could,” “estimate,” “expect,” “intend,” “may,” “plan,” “potential,” “predict,” “project,” “seek,” “should,” “target,” “will,” “would,” or similar expressions and the negatives of those terms.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w:t>
      </w:r>
    </w:p>
    <w:p>
      <w:pPr>
        <w:spacing w:after="0" w:line="69" w:lineRule="exact"/>
        <w:rPr>
          <w:sz w:val="20"/>
          <w:szCs w:val="20"/>
          <w:color w:val="auto"/>
        </w:rPr>
      </w:pPr>
    </w:p>
    <w:p>
      <w:pPr>
        <w:ind w:right="120" w:firstLine="625"/>
        <w:spacing w:after="0" w:line="294" w:lineRule="auto"/>
        <w:rPr>
          <w:sz w:val="20"/>
          <w:szCs w:val="20"/>
          <w:color w:val="auto"/>
        </w:rPr>
      </w:pPr>
      <w:r>
        <w:rPr>
          <w:rFonts w:ascii="Times New Roman" w:cs="Times New Roman" w:eastAsia="Times New Roman" w:hAnsi="Times New Roman"/>
          <w:sz w:val="17"/>
          <w:szCs w:val="17"/>
          <w:color w:val="auto"/>
        </w:rPr>
        <w:t>Forward-looking statements appearing in a number of places throughout this Quarterly Report on Form 10-Q include, but are not limited to, statements about the following, among other things:</w:t>
      </w:r>
    </w:p>
    <w:p>
      <w:pPr>
        <w:spacing w:after="0" w:line="37" w:lineRule="exact"/>
        <w:rPr>
          <w:sz w:val="20"/>
          <w:szCs w:val="20"/>
          <w:color w:val="auto"/>
        </w:rPr>
      </w:pPr>
    </w:p>
    <w:p>
      <w:pPr>
        <w:ind w:left="940" w:right="80" w:hanging="311"/>
        <w:spacing w:after="0" w:line="246" w:lineRule="auto"/>
        <w:tabs>
          <w:tab w:leader="none" w:pos="9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commercialization plans in the United States, the European Union (“EU”), Japan, and elsewhere for our first commercial product, VYJUVEK</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7"/>
          <w:szCs w:val="17"/>
          <w:color w:val="auto"/>
        </w:rPr>
        <w:t xml:space="preserve"> (beremagene geperpavec-svdt)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which was approved by the U.S. Food and Drug Administration (“FDA”) in May 2023, the European Commission (“EC”) in April 2025, and Japan’s Ministry of Health, Labour and Welfare (“MHLW”) in July 2025 for the treatment of dystrophic epidermolysis bullosa (“DEB”);</w:t>
      </w:r>
    </w:p>
    <w:p>
      <w:pPr>
        <w:spacing w:after="0" w:line="82" w:lineRule="exact"/>
        <w:rPr>
          <w:rFonts w:ascii="Times New Roman" w:cs="Times New Roman" w:eastAsia="Times New Roman" w:hAnsi="Times New Roman"/>
          <w:sz w:val="17"/>
          <w:szCs w:val="17"/>
          <w:color w:val="auto"/>
        </w:rPr>
      </w:pPr>
    </w:p>
    <w:p>
      <w:pPr>
        <w:ind w:left="940" w:right="340" w:hanging="311"/>
        <w:spacing w:after="0" w:line="294" w:lineRule="auto"/>
        <w:tabs>
          <w:tab w:leader="none" w:pos="9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and expected timing of commercial launches of VYJUVEK in Europe outside of Germany and France and expected timing of pricing negotiations in Germany and France;</w:t>
      </w:r>
    </w:p>
    <w:p>
      <w:pPr>
        <w:spacing w:after="0" w:line="4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for commercialization of B-VEC outside of the United States, major European markets, and Japan;</w:t>
      </w:r>
    </w:p>
    <w:p>
      <w:pPr>
        <w:spacing w:after="0" w:line="117" w:lineRule="exact"/>
        <w:rPr>
          <w:rFonts w:ascii="Times New Roman" w:cs="Times New Roman" w:eastAsia="Times New Roman" w:hAnsi="Times New Roman"/>
          <w:sz w:val="17"/>
          <w:szCs w:val="17"/>
          <w:color w:val="auto"/>
        </w:rPr>
      </w:pPr>
    </w:p>
    <w:p>
      <w:pPr>
        <w:ind w:left="940" w:right="40" w:hanging="311"/>
        <w:spacing w:after="0" w:line="294" w:lineRule="auto"/>
        <w:tabs>
          <w:tab w:leader="none" w:pos="9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timing, progress, and results of clinical trials for our product candidates, as well as expected timing of reporting of data readouts from our clinical trials;</w:t>
      </w:r>
    </w:p>
    <w:p>
      <w:pPr>
        <w:spacing w:after="0" w:line="4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regulatory filings;</w:t>
      </w:r>
    </w:p>
    <w:p>
      <w:pPr>
        <w:spacing w:after="0" w:line="117" w:lineRule="exact"/>
        <w:rPr>
          <w:rFonts w:ascii="Times New Roman" w:cs="Times New Roman" w:eastAsia="Times New Roman" w:hAnsi="Times New Roman"/>
          <w:sz w:val="17"/>
          <w:szCs w:val="17"/>
          <w:color w:val="auto"/>
        </w:rPr>
      </w:pPr>
    </w:p>
    <w:p>
      <w:pPr>
        <w:ind w:left="940" w:hanging="311"/>
        <w:spacing w:after="0"/>
        <w:tabs>
          <w:tab w:leader="none" w:pos="9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our expectations regarding revenue, research and development expenses, selling, general and administrative expenses, and our primary uses of capital;</w:t>
      </w:r>
    </w:p>
    <w:p>
      <w:pPr>
        <w:spacing w:after="0" w:line="264" w:lineRule="exact"/>
        <w:rPr>
          <w:rFonts w:ascii="Arial" w:cs="Arial" w:eastAsia="Arial" w:hAnsi="Arial"/>
          <w:sz w:val="21"/>
          <w:szCs w:val="21"/>
          <w:color w:val="auto"/>
        </w:rPr>
      </w:pPr>
    </w:p>
    <w:p>
      <w:pPr>
        <w:ind w:left="940" w:hanging="311"/>
        <w:spacing w:after="0"/>
        <w:tabs>
          <w:tab w:leader="none" w:pos="94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our plans and ability to successfully identify, develop and commercialize our product candidates;</w:t>
      </w:r>
    </w:p>
    <w:p>
      <w:pPr>
        <w:spacing w:after="0" w:line="58" w:lineRule="exact"/>
        <w:rPr>
          <w:rFonts w:ascii="Arial" w:cs="Arial" w:eastAsia="Arial" w:hAnsi="Arial"/>
          <w:sz w:val="21"/>
          <w:szCs w:val="21"/>
          <w:color w:val="auto"/>
        </w:rPr>
      </w:pPr>
    </w:p>
    <w:p>
      <w:pPr>
        <w:ind w:left="940" w:hanging="311"/>
        <w:spacing w:after="0"/>
        <w:tabs>
          <w:tab w:leader="none" w:pos="94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our commercialization, marketing, and manufacturing capabilities and strategy; and</w:t>
      </w:r>
    </w:p>
    <w:p>
      <w:pPr>
        <w:spacing w:after="0" w:line="71" w:lineRule="exact"/>
        <w:rPr>
          <w:rFonts w:ascii="Arial" w:cs="Arial" w:eastAsia="Arial" w:hAnsi="Arial"/>
          <w:sz w:val="21"/>
          <w:szCs w:val="21"/>
          <w:color w:val="auto"/>
        </w:rPr>
      </w:pPr>
    </w:p>
    <w:p>
      <w:pPr>
        <w:ind w:left="940" w:hanging="311"/>
        <w:spacing w:after="0"/>
        <w:tabs>
          <w:tab w:leader="none" w:pos="94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our business model and strategic plans for our business, product candidates and technology.</w:t>
      </w:r>
    </w:p>
    <w:p>
      <w:pPr>
        <w:spacing w:after="0" w:line="86" w:lineRule="exact"/>
        <w:rPr>
          <w:sz w:val="20"/>
          <w:szCs w:val="20"/>
          <w:color w:val="auto"/>
        </w:rPr>
      </w:pPr>
    </w:p>
    <w:p>
      <w:pPr>
        <w:jc w:val="both"/>
        <w:ind w:firstLine="625"/>
        <w:spacing w:after="0" w:line="261" w:lineRule="auto"/>
        <w:rPr>
          <w:sz w:val="20"/>
          <w:szCs w:val="20"/>
          <w:color w:val="auto"/>
        </w:rPr>
      </w:pPr>
      <w:r>
        <w:rPr>
          <w:rFonts w:ascii="Times New Roman" w:cs="Times New Roman" w:eastAsia="Times New Roman" w:hAnsi="Times New Roman"/>
          <w:sz w:val="17"/>
          <w:szCs w:val="17"/>
          <w:color w:val="auto"/>
        </w:rPr>
        <w:t>Forward-looking statements are subject to a number of risks, uncertainties and assumptions, including those referenced in Item 1A of Part II of this Quarterly Report on Form 10-Q and other filings we make with the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Given these uncertainties, you should not place undue reliance on these forward-looking statements. You should read this Quarterly Report completely and with the understanding that our actual future results may be materially different from what we expect.</w:t>
      </w:r>
    </w:p>
    <w:p>
      <w:pPr>
        <w:spacing w:after="0" w:line="71"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Forward-looking statements represent our management’s beliefs and assumptions only as of the date of filing this Quarterly Report on Form 10-Q with the SEC. Except as required by law, we assume no obligation to update these forward-looking statements publicly as a result of subsequent events, developments or otherwise, or to update the reasons actual results could differ materially from those anticipated in these forward-looking statements, even if new information becomes available in the future.</w:t>
      </w:r>
    </w:p>
    <w:p>
      <w:pPr>
        <w:spacing w:after="0" w:line="65"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Throughout this Quarterly Report on Form 10-Q, unless the context requires otherwise, all references to “Krystal,” the “Company,” “we,” “our,” “us,” or similar terms refer to Krystal Biotech, Inc., together with its consolidated subsidiaries. Web</w:t>
      </w:r>
    </w:p>
    <w:p>
      <w:pPr>
        <w:spacing w:after="0" w:line="200" w:lineRule="exact"/>
        <w:rPr>
          <w:sz w:val="20"/>
          <w:szCs w:val="20"/>
          <w:color w:val="auto"/>
        </w:rPr>
      </w:pPr>
    </w:p>
    <w:p>
      <w:pPr>
        <w:spacing w:after="0" w:line="27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links throughout this Quarterly Report on Form 10-Q are provided for convenience only and are not intended to be active hyperlinks to the referenced websites.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content on the referenced websites shall be deemed incorporated by reference into this Quarterly Report on Form 10-Q.</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33" w:lineRule="exact"/>
        <w:rPr>
          <w:sz w:val="20"/>
          <w:szCs w:val="20"/>
          <w:color w:val="auto"/>
        </w:rPr>
      </w:pPr>
    </w:p>
    <w:p>
      <w:pPr>
        <w:jc w:val="both"/>
        <w:ind w:firstLine="625"/>
        <w:spacing w:after="0" w:line="259" w:lineRule="auto"/>
        <w:rPr>
          <w:sz w:val="20"/>
          <w:szCs w:val="20"/>
          <w:color w:val="auto"/>
        </w:rPr>
      </w:pPr>
      <w:r>
        <w:rPr>
          <w:rFonts w:ascii="Times New Roman" w:cs="Times New Roman" w:eastAsia="Times New Roman" w:hAnsi="Times New Roman"/>
          <w:sz w:val="17"/>
          <w:szCs w:val="17"/>
          <w:color w:val="auto"/>
        </w:rPr>
        <w:t>We are a fully integrated, commercial-stage, global biotechnology company focused on the discovery, development, manufacturing, and commercialization of genetic medicines to treat diseases with high unmet medical needs. Using our patented gene therapy technology platform that is based on engineered herpes simplex virus-1 (“HSV-1”), we create vectors that efficiently deliver therapeutic transgenes to cells of interest in multiple organ systems. The cell’s own machinery then transcribes and translates the transgene to treat the disease. Our vectors are amenable to formulation for non-invasive or minimally invasive routes of administration at a healthcare professional’s office or in the patient’s home. Our innovative technology platform is supported by two in-house, commercial scale Current Good Manufacturing Practice (“CGMP”) manufacturing facilities.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Commercial Product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VYJUVEK (beremagene geperpavec-svdt, or B-VEC; referred to as B-VEC outside the U.S., Europe, and Japan)</w:t>
      </w:r>
    </w:p>
    <w:p>
      <w:pPr>
        <w:spacing w:after="0" w:line="121"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 xml:space="preserve">VYJUVEK is a non-invasive, topical, redosable gene therapy approved in the United States, Europe, and Japan for the treatment of DEB, a rare and severe monogenic disease that affects the skin and mucosal tissues and is caused by one or more mutations in a gene called </w:t>
      </w:r>
      <w:r>
        <w:rPr>
          <w:rFonts w:ascii="Times New Roman" w:cs="Times New Roman" w:eastAsia="Times New Roman" w:hAnsi="Times New Roman"/>
          <w:sz w:val="17"/>
          <w:szCs w:val="17"/>
          <w:i w:val="1"/>
          <w:iCs w:val="1"/>
          <w:color w:val="auto"/>
        </w:rPr>
        <w:t>COL7A1</w:t>
      </w:r>
      <w:r>
        <w:rPr>
          <w:rFonts w:ascii="Times New Roman" w:cs="Times New Roman" w:eastAsia="Times New Roman" w:hAnsi="Times New Roman"/>
          <w:sz w:val="17"/>
          <w:szCs w:val="17"/>
          <w:color w:val="auto"/>
        </w:rPr>
        <w:t xml:space="preserve">. VYJUVEK is designed to deliver two copies of the </w:t>
      </w:r>
      <w:r>
        <w:rPr>
          <w:rFonts w:ascii="Times New Roman" w:cs="Times New Roman" w:eastAsia="Times New Roman" w:hAnsi="Times New Roman"/>
          <w:sz w:val="17"/>
          <w:szCs w:val="17"/>
          <w:i w:val="1"/>
          <w:iCs w:val="1"/>
          <w:color w:val="auto"/>
        </w:rPr>
        <w:t>COL7A1</w:t>
      </w:r>
      <w:r>
        <w:rPr>
          <w:rFonts w:ascii="Times New Roman" w:cs="Times New Roman" w:eastAsia="Times New Roman" w:hAnsi="Times New Roman"/>
          <w:sz w:val="17"/>
          <w:szCs w:val="17"/>
          <w:color w:val="auto"/>
        </w:rPr>
        <w:t xml:space="preserve"> gene when applied directly to DEB wounds, providing the patient’s skin cells the template to make normal type VII collagen protein and thereby addressing the fundamental disease-causing mechanism.</w:t>
      </w:r>
    </w:p>
    <w:p>
      <w:pPr>
        <w:spacing w:after="0" w:line="65" w:lineRule="exact"/>
        <w:rPr>
          <w:sz w:val="20"/>
          <w:szCs w:val="20"/>
          <w:color w:val="auto"/>
        </w:rPr>
      </w:pPr>
    </w:p>
    <w:p>
      <w:pPr>
        <w:jc w:val="both"/>
        <w:ind w:firstLine="625"/>
        <w:spacing w:after="0" w:line="265" w:lineRule="auto"/>
        <w:rPr>
          <w:sz w:val="20"/>
          <w:szCs w:val="20"/>
          <w:color w:val="auto"/>
        </w:rPr>
      </w:pPr>
      <w:r>
        <w:rPr>
          <w:rFonts w:ascii="Times New Roman" w:cs="Times New Roman" w:eastAsia="Times New Roman" w:hAnsi="Times New Roman"/>
          <w:sz w:val="17"/>
          <w:szCs w:val="17"/>
          <w:color w:val="auto"/>
        </w:rPr>
        <w:t>VYJUVEK was first approved by the FDA in May 2023 for the treatment of wounds in patients, six months of age or older, suffering from DEB, making it the first ever redosable gene therapy and the first and only corrective medicine approved by the FDA for the treatment of both recessive and dominant subtypes of DEB. In September 2025, the FDA approved a label update for VYJUVEK that expanded the treatment eligible population to include DEB patients from birth and provided patients with greater dosing flexibility, including the option for VYJUVEK to be applied by a healthcare professional (“HCP”), caregiver, or directly by the patient themselves, either at home or in a healthcare setting.</w:t>
      </w:r>
    </w:p>
    <w:p>
      <w:pPr>
        <w:spacing w:after="0" w:line="67"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VYJUVEK was also approved in Japan and Europe earlier this year, making it the first and only corrective therapy approved for the treatment of DEB in each of those respective markets.</w:t>
      </w:r>
    </w:p>
    <w:p>
      <w:pPr>
        <w:spacing w:after="0" w:line="42"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 xml:space="preserve">In April 2025, the EC granted marketing authorization to VYJUVEK for the treatment of wounds in patients with DEB who have mutations in the </w:t>
      </w:r>
      <w:r>
        <w:rPr>
          <w:rFonts w:ascii="Times New Roman" w:cs="Times New Roman" w:eastAsia="Times New Roman" w:hAnsi="Times New Roman"/>
          <w:sz w:val="17"/>
          <w:szCs w:val="17"/>
          <w:i w:val="1"/>
          <w:iCs w:val="1"/>
          <w:color w:val="auto"/>
        </w:rPr>
        <w:t xml:space="preserve">COL7A1 </w:t>
      </w:r>
      <w:r>
        <w:rPr>
          <w:rFonts w:ascii="Times New Roman" w:cs="Times New Roman" w:eastAsia="Times New Roman" w:hAnsi="Times New Roman"/>
          <w:sz w:val="17"/>
          <w:szCs w:val="17"/>
          <w:color w:val="auto"/>
        </w:rPr>
        <w:t>gene, starting from birth. The approval granted by the EC also allows for flexible VYJUVEK dosing either at home or in a healthcare setting,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 for patient or caregiver administration if deemed appropriate by a HCP.</w:t>
      </w:r>
    </w:p>
    <w:p>
      <w:pPr>
        <w:spacing w:after="0" w:line="60"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In July 2025, Japan’s MHLW approved VYJUVEK for the treatment of patients with DEB, starting from birth. The Japanese approval allows for dosing at home or in a healthcare setting, with the option for administration by patients or their family members. As per the approval issued by the MHLW, VYJUVEK is intended for use only in patients with a definite diagnosis of dystrophic epidermolysis bullosa. Genetic testing is not a requirement for treatment. The re-examination period for VYJUVEK in Japan is ten years.</w:t>
      </w:r>
    </w:p>
    <w:p>
      <w:pPr>
        <w:spacing w:after="0" w:line="65"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We possess exclusive rights to develop, manufacture, and commercialize VYJUVEK and all our pipeline candidates throughout the world and intend to commercialize VYJUVEK directly in the United States, major European markets, and Japan. We launched VYJUVEK in the United States in 2023 and recently commenced the commercial launch of VYJUVEK in Europe and Japan.</w:t>
      </w:r>
    </w:p>
    <w:p>
      <w:pPr>
        <w:spacing w:after="0" w:line="60" w:lineRule="exact"/>
        <w:rPr>
          <w:sz w:val="20"/>
          <w:szCs w:val="20"/>
          <w:color w:val="auto"/>
        </w:rPr>
      </w:pPr>
    </w:p>
    <w:p>
      <w:pPr>
        <w:jc w:val="both"/>
        <w:ind w:firstLine="625"/>
        <w:spacing w:after="0" w:line="265" w:lineRule="auto"/>
        <w:rPr>
          <w:sz w:val="20"/>
          <w:szCs w:val="20"/>
          <w:color w:val="auto"/>
        </w:rPr>
      </w:pPr>
      <w:r>
        <w:rPr>
          <w:rFonts w:ascii="Times New Roman" w:cs="Times New Roman" w:eastAsia="Times New Roman" w:hAnsi="Times New Roman"/>
          <w:sz w:val="17"/>
          <w:szCs w:val="17"/>
          <w:color w:val="auto"/>
        </w:rPr>
        <w:t>In August 2025, we launched VYJUVEK in Germany, our first commercial launch outside the United States. In September 2025, the Autorité de Santé (“HAS”) in France approved early reimbursed access to VYJUVEK under the post-marketing authorization Accès Précoce program, including the option to dispense VYJUVEK outside of the hospital setting, and, in October 2025, we launched VYJUVEK in France. Also in October, the HAS appraised VYJUVEK as Amélioration du Service Médical Rendu III, a designation which recognizes the added clinical benefit of VYJUVEK and is an important milestone as the Company advances access discussions in France.</w:t>
      </w:r>
    </w:p>
    <w:p>
      <w:pPr>
        <w:spacing w:after="0" w:line="67"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Pricing negotiations are underway in both Germany and France and are expected to continue until at least the second half of 2026. The Company is also preparing regulatory filings for the United Kingdom and Switzerland, as well as initiating pricing discussions with relevant authorities in other key Western European markets. The timing of European launches outside of France and Germany will depend on the cadence and outcomes of pricing negotiations.</w:t>
      </w:r>
    </w:p>
    <w:p>
      <w:pPr>
        <w:spacing w:after="0" w:line="60"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In October 2025, VYJUVEK was awarded the Prix Galien Italia in the Advanced Therapy Medicinal Products category in Italy. The Prix Galien is an international awards program recognizing excellence in scientific innovation that improves the state of human health.</w:t>
      </w:r>
    </w:p>
    <w:p>
      <w:pPr>
        <w:spacing w:after="0" w:line="200" w:lineRule="exact"/>
        <w:rPr>
          <w:sz w:val="20"/>
          <w:szCs w:val="20"/>
          <w:color w:val="auto"/>
        </w:rPr>
      </w:pPr>
    </w:p>
    <w:p>
      <w:pPr>
        <w:spacing w:after="0" w:line="27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19" w:name="page20"/>
    <w:bookmarkEnd w:id="19"/>
    <w:p>
      <w:pPr>
        <w:ind w:left="620"/>
        <w:spacing w:after="0"/>
        <w:rPr>
          <w:sz w:val="20"/>
          <w:szCs w:val="20"/>
          <w:color w:val="auto"/>
        </w:rPr>
      </w:pPr>
      <w:r>
        <w:rPr>
          <w:rFonts w:ascii="Times New Roman" w:cs="Times New Roman" w:eastAsia="Times New Roman" w:hAnsi="Times New Roman"/>
          <w:sz w:val="17"/>
          <w:szCs w:val="17"/>
          <w:color w:val="auto"/>
        </w:rPr>
        <w:t>In October 2025, the Company launched VYJUVEK in Japan following successful completion of pricing negotiations with Japan’s MHLW.</w:t>
      </w:r>
    </w:p>
    <w:p>
      <w:pPr>
        <w:spacing w:after="0" w:line="117" w:lineRule="exact"/>
        <w:rPr>
          <w:sz w:val="20"/>
          <w:szCs w:val="20"/>
          <w:color w:val="auto"/>
        </w:rPr>
      </w:pPr>
    </w:p>
    <w:p>
      <w:pPr>
        <w:ind w:right="100" w:firstLine="625"/>
        <w:spacing w:after="0" w:line="274" w:lineRule="auto"/>
        <w:rPr>
          <w:sz w:val="20"/>
          <w:szCs w:val="20"/>
          <w:color w:val="auto"/>
        </w:rPr>
      </w:pPr>
      <w:r>
        <w:rPr>
          <w:rFonts w:ascii="Times New Roman" w:cs="Times New Roman" w:eastAsia="Times New Roman" w:hAnsi="Times New Roman"/>
          <w:sz w:val="17"/>
          <w:szCs w:val="17"/>
          <w:color w:val="auto"/>
        </w:rPr>
        <w:t>We have initiated distribution arrangements with specialty distributors to commercialize VYJUVEK in territories outside of the United States, major European markets, and Japan. To date, we have entered into agreements with leading regional specialty distributors covering key markets in Central and Eastern Europe, the Middle East, and Turkey, and we expect to further expand our specialty distributor network in 2026.</w:t>
      </w:r>
    </w:p>
    <w:p>
      <w:pPr>
        <w:spacing w:after="0" w:line="60" w:lineRule="exact"/>
        <w:rPr>
          <w:sz w:val="20"/>
          <w:szCs w:val="20"/>
          <w:color w:val="auto"/>
        </w:rPr>
      </w:pPr>
    </w:p>
    <w:p>
      <w:pPr>
        <w:ind w:right="500" w:firstLine="625"/>
        <w:spacing w:after="0" w:line="294" w:lineRule="auto"/>
        <w:rPr>
          <w:sz w:val="20"/>
          <w:szCs w:val="20"/>
          <w:color w:val="auto"/>
        </w:rPr>
      </w:pPr>
      <w:r>
        <w:rPr>
          <w:rFonts w:ascii="Times New Roman" w:cs="Times New Roman" w:eastAsia="Times New Roman" w:hAnsi="Times New Roman"/>
          <w:sz w:val="17"/>
          <w:szCs w:val="17"/>
          <w:color w:val="auto"/>
        </w:rPr>
        <w:t>Net VYJUVEK product revenue was $97.8 million for the three months ended September 30, 2025, and $623.2 million in cumulative net product revenue since launch.</w:t>
      </w:r>
    </w:p>
    <w:p>
      <w:pPr>
        <w:spacing w:after="0" w:line="42"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Gross margin for the three months ended September 30, 2025 was 96%. We define gross margin as product revenue, net less cost of goods sold expressed as a percentage of product revenue, net.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Pipeline Highlights and Recent Developments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Respiratory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KB407 for Cystic Fibrosis (“CF”)</w:t>
      </w:r>
    </w:p>
    <w:p>
      <w:pPr>
        <w:spacing w:after="0" w:line="121" w:lineRule="exact"/>
        <w:rPr>
          <w:sz w:val="20"/>
          <w:szCs w:val="20"/>
          <w:color w:val="auto"/>
        </w:rPr>
      </w:pPr>
    </w:p>
    <w:p>
      <w:pPr>
        <w:jc w:val="both"/>
        <w:ind w:firstLine="625"/>
        <w:spacing w:after="0" w:line="261" w:lineRule="auto"/>
        <w:rPr>
          <w:sz w:val="20"/>
          <w:szCs w:val="20"/>
          <w:color w:val="auto"/>
        </w:rPr>
      </w:pPr>
      <w:r>
        <w:rPr>
          <w:rFonts w:ascii="Times New Roman" w:cs="Times New Roman" w:eastAsia="Times New Roman" w:hAnsi="Times New Roman"/>
          <w:sz w:val="17"/>
          <w:szCs w:val="17"/>
          <w:color w:val="auto"/>
        </w:rPr>
        <w:t>KB407 is an inhaled (nebulized) formulation of our novel vector designed to deliver two copies of the full-length cystic fibrosis transmembrane conductance regulator (“</w:t>
      </w:r>
      <w:r>
        <w:rPr>
          <w:rFonts w:ascii="Times New Roman" w:cs="Times New Roman" w:eastAsia="Times New Roman" w:hAnsi="Times New Roman"/>
          <w:sz w:val="17"/>
          <w:szCs w:val="17"/>
          <w:i w:val="1"/>
          <w:iCs w:val="1"/>
          <w:color w:val="auto"/>
        </w:rPr>
        <w:t>CFTR</w:t>
      </w:r>
      <w:r>
        <w:rPr>
          <w:rFonts w:ascii="Times New Roman" w:cs="Times New Roman" w:eastAsia="Times New Roman" w:hAnsi="Times New Roman"/>
          <w:sz w:val="17"/>
          <w:szCs w:val="17"/>
          <w:color w:val="auto"/>
        </w:rPr>
        <w:t xml:space="preserve">”) transgene for the treatment of CF, a serious rare lung disease caused by missing or mutated CFTR protein. In July 2023, we announced that we had dosed the first patient in CORAL-1, a Phase 1 multi-center, dose-escalation study evaluating KB407, delivered via a nebulizer, in patients with CF, regardless of their underlying genotype. In December 2024, we announced an interim safety data update for patients treated with KB407 in the first two dose escalation cohorts, in which we found single and repeat inhaled administration of KB407 to be safe and well tolerated. In January 2025, the Cystic Fibrosis Foundation Therapeutic Development Network Clinical Research Executive Committee granted full sanctioning of our KB407 Phase 1 CORAL-1 study protocol. Enrollment in CORAL-1 is ongoing and we expect to report safety and </w:t>
      </w:r>
      <w:r>
        <w:rPr>
          <w:rFonts w:ascii="Times New Roman" w:cs="Times New Roman" w:eastAsia="Times New Roman" w:hAnsi="Times New Roman"/>
          <w:sz w:val="17"/>
          <w:szCs w:val="17"/>
          <w:i w:val="1"/>
          <w:iCs w:val="1"/>
          <w:color w:val="auto"/>
        </w:rPr>
        <w:t>CFTR</w:t>
      </w:r>
      <w:r>
        <w:rPr>
          <w:rFonts w:ascii="Times New Roman" w:cs="Times New Roman" w:eastAsia="Times New Roman" w:hAnsi="Times New Roman"/>
          <w:sz w:val="17"/>
          <w:szCs w:val="17"/>
          <w:color w:val="auto"/>
        </w:rPr>
        <w:t xml:space="preserve"> delivery data from patients in the third and final cohort of CORAL-1 before year end. Details of the Phase 1 study can be found at www.clinicaltrials.gov under NCT identifier NCT05504837.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KB408 for Alpha-1 Antitrypsin Deficiency (“AATD”) Lung Disease</w:t>
      </w:r>
    </w:p>
    <w:p>
      <w:pPr>
        <w:spacing w:after="0" w:line="119" w:lineRule="exact"/>
        <w:rPr>
          <w:sz w:val="20"/>
          <w:szCs w:val="20"/>
          <w:color w:val="auto"/>
        </w:rPr>
      </w:pPr>
    </w:p>
    <w:p>
      <w:pPr>
        <w:jc w:val="both"/>
        <w:ind w:firstLine="625"/>
        <w:spacing w:after="0" w:line="260" w:lineRule="auto"/>
        <w:rPr>
          <w:sz w:val="20"/>
          <w:szCs w:val="20"/>
          <w:color w:val="auto"/>
        </w:rPr>
      </w:pPr>
      <w:r>
        <w:rPr>
          <w:rFonts w:ascii="Times New Roman" w:cs="Times New Roman" w:eastAsia="Times New Roman" w:hAnsi="Times New Roman"/>
          <w:sz w:val="17"/>
          <w:szCs w:val="17"/>
          <w:color w:val="auto"/>
        </w:rPr>
        <w:t xml:space="preserve">KB408 is an inhaled (nebulized) formulation of our novel vector designed to deliver two copies of the </w:t>
      </w:r>
      <w:r>
        <w:rPr>
          <w:rFonts w:ascii="Times New Roman" w:cs="Times New Roman" w:eastAsia="Times New Roman" w:hAnsi="Times New Roman"/>
          <w:sz w:val="17"/>
          <w:szCs w:val="17"/>
          <w:i w:val="1"/>
          <w:iCs w:val="1"/>
          <w:color w:val="auto"/>
        </w:rPr>
        <w:t>SERPINA1</w:t>
      </w:r>
      <w:r>
        <w:rPr>
          <w:rFonts w:ascii="Times New Roman" w:cs="Times New Roman" w:eastAsia="Times New Roman" w:hAnsi="Times New Roman"/>
          <w:sz w:val="17"/>
          <w:szCs w:val="17"/>
          <w:color w:val="auto"/>
        </w:rPr>
        <w:t xml:space="preserve"> transgene, that encodes for normal human alpha-1 antitrypsin (“AAT”) protein, for the treatment of AATD, a serious rare lung disease. In February 2024, we announced that we dosed the first patient in SERPENTINE-1, a Phase 1, open-label, dose escalation study evaluating KB408, delivered via a nebulizer, in adult patients with AATD with a Pi*ZZ or a Pi*ZNull genotype. In December 2024, we announced an interim clinical update from the first two dose escalation cohorts of SERPENTINE-1. Inhaled KB408 was safe and well-tolerated at both tested dose levels and clear evidence of successful </w:t>
      </w:r>
      <w:r>
        <w:rPr>
          <w:rFonts w:ascii="Times New Roman" w:cs="Times New Roman" w:eastAsia="Times New Roman" w:hAnsi="Times New Roman"/>
          <w:sz w:val="17"/>
          <w:szCs w:val="17"/>
          <w:i w:val="1"/>
          <w:iCs w:val="1"/>
          <w:color w:val="auto"/>
        </w:rPr>
        <w:t>SERPINA1</w:t>
      </w:r>
      <w:r>
        <w:rPr>
          <w:rFonts w:ascii="Times New Roman" w:cs="Times New Roman" w:eastAsia="Times New Roman" w:hAnsi="Times New Roman"/>
          <w:sz w:val="17"/>
          <w:szCs w:val="17"/>
          <w:color w:val="auto"/>
        </w:rPr>
        <w:t xml:space="preserve"> delivery and AAT expression was observed in both patients that underwent bronchoscopies. We have since confirmed </w:t>
      </w:r>
      <w:r>
        <w:rPr>
          <w:rFonts w:ascii="Times New Roman" w:cs="Times New Roman" w:eastAsia="Times New Roman" w:hAnsi="Times New Roman"/>
          <w:sz w:val="17"/>
          <w:szCs w:val="17"/>
          <w:i w:val="1"/>
          <w:iCs w:val="1"/>
          <w:color w:val="auto"/>
        </w:rPr>
        <w:t>SERPINA1</w:t>
      </w:r>
      <w:r>
        <w:rPr>
          <w:rFonts w:ascii="Times New Roman" w:cs="Times New Roman" w:eastAsia="Times New Roman" w:hAnsi="Times New Roman"/>
          <w:sz w:val="17"/>
          <w:szCs w:val="17"/>
          <w:color w:val="auto"/>
        </w:rPr>
        <w:t xml:space="preserve"> delivery and functional AAT expression in a third patient dosed with KB408 in Cohort 2 and amended the SERPENTINE-1 protocol to investigate repeat dosing at the Cohort 2 dose level (the repeat dose cohort now referred to as “Cohort 2B”). A total of five patients were dosed in Cohort 2 of which three underwent bronchoscopy. The first patient in Cohort 2B was dosed in August 2025 and enrollment in this repeat dose cohort is ongoing. We expect to report interim safety and </w:t>
      </w:r>
      <w:r>
        <w:rPr>
          <w:rFonts w:ascii="Times New Roman" w:cs="Times New Roman" w:eastAsia="Times New Roman" w:hAnsi="Times New Roman"/>
          <w:sz w:val="17"/>
          <w:szCs w:val="17"/>
          <w:i w:val="1"/>
          <w:iCs w:val="1"/>
          <w:color w:val="auto"/>
        </w:rPr>
        <w:t>SERPINA1</w:t>
      </w:r>
      <w:r>
        <w:rPr>
          <w:rFonts w:ascii="Times New Roman" w:cs="Times New Roman" w:eastAsia="Times New Roman" w:hAnsi="Times New Roman"/>
          <w:sz w:val="17"/>
          <w:szCs w:val="17"/>
          <w:color w:val="auto"/>
        </w:rPr>
        <w:t xml:space="preserve"> delivery data from the repeat dose Cohort 2B in the first half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2026. Enrollment in single dose cohorts is now closed. Details of the Phase 1 study can be found at www.clinicaltrials.gov under NCT identifier: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NCT06049082.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Ophthalmology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KB803 for Ocular Complications in Patients with DEB</w:t>
      </w:r>
    </w:p>
    <w:p>
      <w:pPr>
        <w:spacing w:after="0" w:line="121"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KB803 is a redosable eye drop formulation of B-VEC, designed for the treatment of ocular complications that are thought to affect over 25% of DEB patients. These complications, which include corneal erosions, abrasions, blistering and scarring, can lead to progressive vision loss. There is currently no corrective therapy available.</w:t>
      </w:r>
    </w:p>
    <w:p>
      <w:pPr>
        <w:spacing w:after="0" w:line="60" w:lineRule="exact"/>
        <w:rPr>
          <w:sz w:val="20"/>
          <w:szCs w:val="20"/>
          <w:color w:val="auto"/>
        </w:rPr>
      </w:pPr>
    </w:p>
    <w:p>
      <w:pPr>
        <w:jc w:val="both"/>
        <w:ind w:firstLine="625"/>
        <w:spacing w:after="0" w:line="248" w:lineRule="auto"/>
        <w:rPr>
          <w:sz w:val="20"/>
          <w:szCs w:val="20"/>
          <w:color w:val="auto"/>
        </w:rPr>
      </w:pPr>
      <w:r>
        <w:rPr>
          <w:rFonts w:ascii="Times New Roman" w:cs="Times New Roman" w:eastAsia="Times New Roman" w:hAnsi="Times New Roman"/>
          <w:sz w:val="17"/>
          <w:szCs w:val="17"/>
          <w:color w:val="auto"/>
        </w:rPr>
        <w:t xml:space="preserve">B-VEC has been applied topically to the eye of one DEB patient under a compassionate use protocol. The clinical observations of this compassionate use case were published in the </w:t>
      </w:r>
      <w:r>
        <w:rPr>
          <w:rFonts w:ascii="Times New Roman" w:cs="Times New Roman" w:eastAsia="Times New Roman" w:hAnsi="Times New Roman"/>
          <w:sz w:val="17"/>
          <w:szCs w:val="17"/>
          <w:i w:val="1"/>
          <w:iCs w:val="1"/>
          <w:color w:val="auto"/>
        </w:rPr>
        <w:t>New England Journal of Medicine</w:t>
      </w:r>
      <w:r>
        <w:rPr>
          <w:rFonts w:ascii="Times New Roman" w:cs="Times New Roman" w:eastAsia="Times New Roman" w:hAnsi="Times New Roman"/>
          <w:sz w:val="17"/>
          <w:szCs w:val="17"/>
          <w:color w:val="auto"/>
        </w:rPr>
        <w:t xml:space="preserve"> in February 2024. The patient presented with severe cicatrizing conjunctivitis secondary to DEB. Surgical symblepharon lysis of the patient’s right eye with pannus removal was conducted and regular administration of B-VEC as an eye drop directly to the eye (5×10</w:t>
      </w:r>
      <w:r>
        <w:rPr>
          <w:rFonts w:ascii="Times New Roman" w:cs="Times New Roman" w:eastAsia="Times New Roman" w:hAnsi="Times New Roman"/>
          <w:sz w:val="22"/>
          <w:szCs w:val="22"/>
          <w:color w:val="auto"/>
          <w:vertAlign w:val="superscript"/>
        </w:rPr>
        <w:t>9</w:t>
      </w:r>
      <w:r>
        <w:rPr>
          <w:rFonts w:ascii="Times New Roman" w:cs="Times New Roman" w:eastAsia="Times New Roman" w:hAnsi="Times New Roman"/>
          <w:sz w:val="17"/>
          <w:szCs w:val="17"/>
          <w:color w:val="auto"/>
        </w:rPr>
        <w:t xml:space="preserve"> PFU/mL) were added to routine post-surgical care, three times weekly for the first two weeks and then once weekly. B-VEC application frequency was further decreased to once monthly once the corneal epithelium was healed. B-VEC was well tolerated with no drug-related adverse events noted. Full corneal healing was observed at three months, as well as significant visual acuity improvement from hand motion to 20/25 by eight months.</w:t>
      </w:r>
    </w:p>
    <w:p>
      <w:pPr>
        <w:spacing w:after="0" w:line="200" w:lineRule="exact"/>
        <w:rPr>
          <w:sz w:val="20"/>
          <w:szCs w:val="20"/>
          <w:color w:val="auto"/>
        </w:rPr>
      </w:pPr>
    </w:p>
    <w:p>
      <w:pPr>
        <w:spacing w:after="0" w:line="31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20" w:name="page21"/>
    <w:bookmarkEnd w:id="20"/>
    <w:p>
      <w:pPr>
        <w:jc w:val="both"/>
        <w:ind w:firstLine="625"/>
        <w:spacing w:after="0" w:line="251" w:lineRule="auto"/>
        <w:rPr>
          <w:sz w:val="20"/>
          <w:szCs w:val="20"/>
          <w:color w:val="auto"/>
        </w:rPr>
      </w:pPr>
      <w:r>
        <w:rPr>
          <w:rFonts w:ascii="Times New Roman" w:cs="Times New Roman" w:eastAsia="Times New Roman" w:hAnsi="Times New Roman"/>
          <w:sz w:val="17"/>
          <w:szCs w:val="17"/>
          <w:color w:val="auto"/>
        </w:rPr>
        <w:t>In June 2025, we announced that we dosed the first patient in IOLITE, an intra-patient, double-blind, placebo-controlled, multicenter Phase 3 registrational study with a crossover design to evaluate KB803 for the treatment and prevention of corneal abrasions in DEB patients, six months of age or older. We expect to enroll approximately 16 patients in the IOLITE study. Enrolled patients will initially receive either a single eye drop of placebo or KB803, at a concentration of 10</w:t>
      </w:r>
      <w:r>
        <w:rPr>
          <w:rFonts w:ascii="Times New Roman" w:cs="Times New Roman" w:eastAsia="Times New Roman" w:hAnsi="Times New Roman"/>
          <w:sz w:val="22"/>
          <w:szCs w:val="22"/>
          <w:color w:val="auto"/>
          <w:vertAlign w:val="superscript"/>
        </w:rPr>
        <w:t>9</w:t>
      </w:r>
      <w:r>
        <w:rPr>
          <w:rFonts w:ascii="Times New Roman" w:cs="Times New Roman" w:eastAsia="Times New Roman" w:hAnsi="Times New Roman"/>
          <w:sz w:val="17"/>
          <w:szCs w:val="17"/>
          <w:color w:val="auto"/>
        </w:rPr>
        <w:t xml:space="preserve"> PFU/mL, to each eye once weekly for 12 weeks. At the conclusion of the first 12 weeks, patients will be switched from placebo to KB803, or vice versa, and continue with once weekly administration for a second 12 week period. IOLITE is a decentralized study and drug administration will occur at the patient’s home by a HCP. The primary study endpoint will be the change in the average number of days per month with corneal abrasion symptoms while receiving KB803 versus placebo. Safety and secondary efficacy data, including weekly assessments of eye pain and monthly Epidermolysis Bullosa Eye Disease Index questionnaires, will be collected through to the end of the 24-week study period. We continue to enroll patients in IOLITE and expect to complete enrollment by the end of the year. More details of the IOLITE study can be found at www.clinicaltrials.gov under NCT identifier NCT07016750.</w:t>
      </w:r>
    </w:p>
    <w:p>
      <w:pPr>
        <w:spacing w:after="0" w:line="80" w:lineRule="exact"/>
        <w:rPr>
          <w:sz w:val="20"/>
          <w:szCs w:val="20"/>
          <w:color w:val="auto"/>
        </w:rPr>
      </w:pPr>
    </w:p>
    <w:p>
      <w:pPr>
        <w:jc w:val="both"/>
        <w:ind w:firstLine="625"/>
        <w:spacing w:after="0" w:line="279" w:lineRule="auto"/>
        <w:rPr>
          <w:sz w:val="20"/>
          <w:szCs w:val="20"/>
          <w:color w:val="auto"/>
        </w:rPr>
      </w:pPr>
      <w:r>
        <w:rPr>
          <w:rFonts w:ascii="Times New Roman" w:cs="Times New Roman" w:eastAsia="Times New Roman" w:hAnsi="Times New Roman"/>
          <w:sz w:val="17"/>
          <w:szCs w:val="17"/>
          <w:color w:val="auto"/>
        </w:rPr>
        <w:t>Patients seeking to participate in IOLITE must first enroll in an ongoing natural history study and complete a 12-week run-in period, during which they report the number of days that they experience symptoms of corneal abrasions. Patients meeting the inclusion criteria following the 12-week run-in are eligible to</w:t>
      </w:r>
    </w:p>
    <w:p>
      <w:pPr>
        <w:spacing w:after="0" w:line="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participate in the IOLITE trial. The natural history study was initiated in August 2024 and remains open for enrollment. Details of the natural history study can be found at www.clinicaltrials.gov under NCT identifier NCT06563414.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KB801 for Neurotrophic Keratitis (“NK”)</w:t>
      </w:r>
    </w:p>
    <w:p>
      <w:pPr>
        <w:spacing w:after="0" w:line="121" w:lineRule="exact"/>
        <w:rPr>
          <w:sz w:val="20"/>
          <w:szCs w:val="20"/>
          <w:color w:val="auto"/>
        </w:rPr>
      </w:pPr>
    </w:p>
    <w:p>
      <w:pPr>
        <w:jc w:val="both"/>
        <w:ind w:firstLine="625"/>
        <w:spacing w:after="0" w:line="264" w:lineRule="auto"/>
        <w:rPr>
          <w:sz w:val="20"/>
          <w:szCs w:val="20"/>
          <w:color w:val="auto"/>
        </w:rPr>
      </w:pPr>
      <w:r>
        <w:rPr>
          <w:rFonts w:ascii="Times New Roman" w:cs="Times New Roman" w:eastAsia="Times New Roman" w:hAnsi="Times New Roman"/>
          <w:sz w:val="17"/>
          <w:szCs w:val="17"/>
          <w:color w:val="auto"/>
        </w:rPr>
        <w:t>KB801 is an eye drop formulation of our novel HSV-1 based vector designed to deliver two transgene copies to the corneal epithelium for the sustained, localized expression and secretion of nerve growth factor (“NGF”) and treatment of NK, a rare, degenerative corneal disease caused by nerve damage in the eye that leads to corneal epithelial defects, ulcers, and perforation. Recombinant NGF eye drops have been shown to significantly improve corneal healing and are approved for the treatment of NK in multiple jurisdictions worldwide, including the United States, but rapid clearance from the eye requires intensive administration six times a day, with eye pain frequently reported, and may result in suboptimal treatment outcomes. In preclinical studies presented at the</w:t>
      </w:r>
    </w:p>
    <w:p>
      <w:pPr>
        <w:spacing w:after="0" w:line="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 xml:space="preserve">Association for Research in Vision and Ophthalmology 2025 Annual Meeting in May 2025, KB801 was shown to efficiently transduce corneal epithelial cells </w:t>
      </w:r>
      <w:r>
        <w:rPr>
          <w:rFonts w:ascii="Times New Roman" w:cs="Times New Roman" w:eastAsia="Times New Roman" w:hAnsi="Times New Roman"/>
          <w:sz w:val="17"/>
          <w:szCs w:val="17"/>
          <w:i w:val="1"/>
          <w:iCs w:val="1"/>
          <w:color w:val="auto"/>
        </w:rPr>
        <w:t>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vitro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in vivo </w:t>
      </w:r>
      <w:r>
        <w:rPr>
          <w:rFonts w:ascii="Times New Roman" w:cs="Times New Roman" w:eastAsia="Times New Roman" w:hAnsi="Times New Roman"/>
          <w:sz w:val="17"/>
          <w:szCs w:val="17"/>
          <w:color w:val="auto"/>
        </w:rPr>
        <w:t>leading to sustained NGF production in the front of the eye. By transducing the cells of the corneal epithelium to produce and secrete NGF,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KB801 has the potential to significantly reduce the treatment burden for patients while also maintaining more consistent NGF levels in the front of the eye.</w:t>
      </w:r>
    </w:p>
    <w:p>
      <w:pPr>
        <w:spacing w:after="0" w:line="57" w:lineRule="exact"/>
        <w:rPr>
          <w:sz w:val="20"/>
          <w:szCs w:val="20"/>
          <w:color w:val="auto"/>
        </w:rPr>
      </w:pPr>
    </w:p>
    <w:p>
      <w:pPr>
        <w:jc w:val="both"/>
        <w:ind w:firstLine="625"/>
        <w:spacing w:after="0" w:line="250" w:lineRule="auto"/>
        <w:rPr>
          <w:sz w:val="20"/>
          <w:szCs w:val="20"/>
          <w:color w:val="auto"/>
        </w:rPr>
      </w:pPr>
      <w:r>
        <w:rPr>
          <w:rFonts w:ascii="Times New Roman" w:cs="Times New Roman" w:eastAsia="Times New Roman" w:hAnsi="Times New Roman"/>
          <w:sz w:val="17"/>
          <w:szCs w:val="17"/>
          <w:color w:val="auto"/>
        </w:rPr>
        <w:t>In July 2025, we announced that we dosed the first patient in EMERALD-1, a randomized, double-masked, multicenter, placebo-controlled study evaluating KB801, administered as an eye drop, for the treatment of NK. We expect to enroll up to 27 adult patients with Stage 2 or Stage 3 NK, as defined by the Mackie criteria. Patients will be randomized 2:1 to receive either KB801, at a concentration of 10</w:t>
      </w:r>
      <w:r>
        <w:rPr>
          <w:rFonts w:ascii="Times New Roman" w:cs="Times New Roman" w:eastAsia="Times New Roman" w:hAnsi="Times New Roman"/>
          <w:sz w:val="22"/>
          <w:szCs w:val="22"/>
          <w:color w:val="auto"/>
          <w:vertAlign w:val="superscript"/>
        </w:rPr>
        <w:t>10</w:t>
      </w:r>
      <w:r>
        <w:rPr>
          <w:rFonts w:ascii="Times New Roman" w:cs="Times New Roman" w:eastAsia="Times New Roman" w:hAnsi="Times New Roman"/>
          <w:sz w:val="17"/>
          <w:szCs w:val="17"/>
          <w:color w:val="auto"/>
        </w:rPr>
        <w:t xml:space="preserve"> PFU/mL, or placebo topically to the study eye twice weekly for eight weeks. The primary objective of EMERALD-1 is to evaluate the safety and tolerability of topical ocular administration of KB801 in patients with NK. The secondary objective is evaluation of efficacy based on the proportion of patients with complete durable healing of corneal epithelium at eight weeks. Additional exploratory efficacy measures will include change in corneal lesion size from baseline, each assessed at weeks 4, 6, 8, 10, and 20, as well as evaluations of corneal sensation and patient-reported symptom burden. Enrollment in EMERALD-1 is ongoing. More details of the EMERALD-1 study can be found at www.clinicaltrials.gov under NCT identifier NCT06999733.</w:t>
      </w:r>
    </w:p>
    <w:p>
      <w:pPr>
        <w:spacing w:after="0" w:line="82" w:lineRule="exact"/>
        <w:rPr>
          <w:sz w:val="20"/>
          <w:szCs w:val="20"/>
          <w:color w:val="auto"/>
        </w:rPr>
      </w:pPr>
    </w:p>
    <w:p>
      <w:pPr>
        <w:jc w:val="both"/>
        <w:ind w:firstLine="625"/>
        <w:spacing w:after="0" w:line="265" w:lineRule="auto"/>
        <w:rPr>
          <w:sz w:val="20"/>
          <w:szCs w:val="20"/>
          <w:color w:val="auto"/>
        </w:rPr>
      </w:pPr>
      <w:r>
        <w:rPr>
          <w:rFonts w:ascii="Times New Roman" w:cs="Times New Roman" w:eastAsia="Times New Roman" w:hAnsi="Times New Roman"/>
          <w:sz w:val="17"/>
          <w:szCs w:val="17"/>
          <w:color w:val="auto"/>
        </w:rPr>
        <w:t>In October 2025, the FDA granted platform technology designation to the engineered HSV-1 viral vector used in KB801. The FDA’s platform technology designation program is intended to provide efficiencies in drug development, manufacturing, and review processes for drug product applications that incorporate designated platform technologies, with potential benefits including more frequent engagement with the FDA during clinical development, as well as opportunities to leverage manufacturing and nonclinical safety data from FDA-approved products that incorporate designated platform technologies, such as VYJUVEK, in submissions to the FDA.</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Oncology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KB707 for Solid Tumors</w:t>
      </w:r>
    </w:p>
    <w:p>
      <w:pPr>
        <w:spacing w:after="0" w:line="121"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KB707 is a redosable, immunotherapy designed to deliver transgenes encoding both human interleukin-2 and interleukin-12 to the tumor microenvironment and promote systemic immune-mediated tumor clearance. Two formulations of KB707 are in development, a solution formulation for transcutaneous injection and an inhaled (nebulized) formulation for lung delivery. Both intratumoral and inhaled KB707 have been granted Rare Pediatric Disease Designations and Fast Track Designations by the FDA.</w:t>
      </w:r>
    </w:p>
    <w:p>
      <w:pPr>
        <w:spacing w:after="0" w:line="65"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We have prioritized development of the inhaled KB707 formulation for the treatment of non-small cell lung cancer (“NSCLC”) based on early evidence of efficacy from KYANITE-1, an open-label, multi-center, dose escalation and expansion</w:t>
      </w:r>
    </w:p>
    <w:p>
      <w:pPr>
        <w:spacing w:after="0" w:line="200" w:lineRule="exact"/>
        <w:rPr>
          <w:sz w:val="20"/>
          <w:szCs w:val="20"/>
          <w:color w:val="auto"/>
        </w:rPr>
      </w:pPr>
    </w:p>
    <w:p>
      <w:pPr>
        <w:spacing w:after="0" w:line="27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21" w:name="page22"/>
    <w:bookmarkEnd w:id="21"/>
    <w:p>
      <w:pPr>
        <w:jc w:val="both"/>
        <w:spacing w:after="0" w:line="265" w:lineRule="auto"/>
        <w:rPr>
          <w:sz w:val="20"/>
          <w:szCs w:val="20"/>
          <w:color w:val="auto"/>
        </w:rPr>
      </w:pPr>
      <w:r>
        <w:rPr>
          <w:rFonts w:ascii="Times New Roman" w:cs="Times New Roman" w:eastAsia="Times New Roman" w:hAnsi="Times New Roman"/>
          <w:sz w:val="17"/>
          <w:szCs w:val="17"/>
          <w:color w:val="auto"/>
        </w:rPr>
        <w:t>Phase 1/2 study, evaluating inhaled KB707, as monotherapy or in combination, in patients with locally advanced or metastatic solid tumors of the lung. As of the latest data cut-off disclosed in June 2025, in an evaluable cohort of 11 patients with heavily pre-treated advanced NSCLC, we observed monotherapy activity with inhaled KB707 therapy, achieving an objective response rate of 36% and a disease control rate of 54%. Inhaled KB707 was also reported to be safe and generally well tolerated as monotherapy in the 39 patients included in the safety analysis. The majority of treatment-related adverse events have been mild to moderate in severity and transient with no Grade 4 or 5 adverse events observed.</w:t>
      </w:r>
    </w:p>
    <w:p>
      <w:pPr>
        <w:spacing w:after="0" w:line="67" w:lineRule="exact"/>
        <w:rPr>
          <w:sz w:val="20"/>
          <w:szCs w:val="20"/>
          <w:color w:val="auto"/>
        </w:rPr>
      </w:pPr>
    </w:p>
    <w:p>
      <w:pPr>
        <w:jc w:val="both"/>
        <w:ind w:firstLine="625"/>
        <w:spacing w:after="0" w:line="262" w:lineRule="auto"/>
        <w:rPr>
          <w:sz w:val="20"/>
          <w:szCs w:val="20"/>
          <w:color w:val="auto"/>
        </w:rPr>
      </w:pPr>
      <w:r>
        <w:rPr>
          <w:rFonts w:ascii="Times New Roman" w:cs="Times New Roman" w:eastAsia="Times New Roman" w:hAnsi="Times New Roman"/>
          <w:sz w:val="17"/>
          <w:szCs w:val="17"/>
          <w:color w:val="auto"/>
        </w:rPr>
        <w:t>In August 2025, we were granted an End of Phase 2 meeting with the FDA to discuss the inhaled KB707 program and based on the FDA’s feedback, we now expect that a single Phase 3 registrational study, evaluating inhaled KB707 in combination with chemotherapy against chemotherapy alone in patients with advanced NSCLC, would be sufficient to support potential registration of inhaled KB707 in combination with chemotherapy as a second-line treatment for NSCLC. In support of this potential registrational pathway, we have opened a new cohort in KYANITE-1 to evaluate a fixed dose of inhaled KB707 in combination with chemotherapy in patients with advanced NSCLC. Enrollment is ongoing, and we expect to report interim efficacy data from KYANITE-1 and potential registrational study plans in the second half of 2026. Details of the KYANITE-1 study can be found at www.clinicaltrials.gov under NCT identifier NCT06228326.</w:t>
      </w:r>
    </w:p>
    <w:p>
      <w:pPr>
        <w:spacing w:after="0" w:line="282" w:lineRule="exact"/>
        <w:rPr>
          <w:sz w:val="20"/>
          <w:szCs w:val="20"/>
          <w:color w:val="auto"/>
        </w:rPr>
      </w:pPr>
    </w:p>
    <w:p>
      <w:pPr>
        <w:jc w:val="both"/>
        <w:ind w:firstLine="625"/>
        <w:spacing w:after="0" w:line="265" w:lineRule="auto"/>
        <w:rPr>
          <w:sz w:val="20"/>
          <w:szCs w:val="20"/>
          <w:color w:val="auto"/>
        </w:rPr>
      </w:pPr>
      <w:r>
        <w:rPr>
          <w:rFonts w:ascii="Times New Roman" w:cs="Times New Roman" w:eastAsia="Times New Roman" w:hAnsi="Times New Roman"/>
          <w:sz w:val="17"/>
          <w:szCs w:val="17"/>
          <w:color w:val="auto"/>
        </w:rPr>
        <w:t>With the prioritization of inhaled KB707, we have paused enrollment in OPAL-1, an open-label, multi-center, dose escalation and expansion Phase 1/2 study, evaluating intratumoral KB707, as monotherapy or in combination, in patients with locally advanced or metastatic solid tumors, who relapsed or are refractory to standard of care, with at least one measurable and injectable tumor accessible by transcutaneous route of administration. Patients enrolled in OPAL-1 continue to be followed and based on safety and efficacy results from the study, the Company may adjust development plans for intratumoral KB707. Details of the OPAL-1 study can be found at www.clinicaltrials.gov under NCT identifier NCT05970497.</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Dermatology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KB111 for Hailey-Hailey Disease (“HHD”)</w:t>
      </w:r>
    </w:p>
    <w:p>
      <w:pPr>
        <w:spacing w:after="0" w:line="119" w:lineRule="exact"/>
        <w:rPr>
          <w:sz w:val="20"/>
          <w:szCs w:val="20"/>
          <w:color w:val="auto"/>
        </w:rPr>
      </w:pPr>
    </w:p>
    <w:p>
      <w:pPr>
        <w:jc w:val="both"/>
        <w:ind w:firstLine="625"/>
        <w:spacing w:after="0" w:line="261" w:lineRule="auto"/>
        <w:rPr>
          <w:sz w:val="20"/>
          <w:szCs w:val="20"/>
          <w:color w:val="auto"/>
        </w:rPr>
      </w:pPr>
      <w:r>
        <w:rPr>
          <w:rFonts w:ascii="Times New Roman" w:cs="Times New Roman" w:eastAsia="Times New Roman" w:hAnsi="Times New Roman"/>
          <w:sz w:val="17"/>
          <w:szCs w:val="17"/>
          <w:color w:val="auto"/>
        </w:rPr>
        <w:t xml:space="preserve">KB111 is a topical gel formulation of our novel vector designed to deliver two copies of the </w:t>
      </w:r>
      <w:r>
        <w:rPr>
          <w:rFonts w:ascii="Times New Roman" w:cs="Times New Roman" w:eastAsia="Times New Roman" w:hAnsi="Times New Roman"/>
          <w:sz w:val="17"/>
          <w:szCs w:val="17"/>
          <w:i w:val="1"/>
          <w:iCs w:val="1"/>
          <w:color w:val="auto"/>
        </w:rPr>
        <w:t>ATP2C1</w:t>
      </w:r>
      <w:r>
        <w:rPr>
          <w:rFonts w:ascii="Times New Roman" w:cs="Times New Roman" w:eastAsia="Times New Roman" w:hAnsi="Times New Roman"/>
          <w:sz w:val="17"/>
          <w:szCs w:val="17"/>
          <w:color w:val="auto"/>
        </w:rPr>
        <w:t xml:space="preserve"> transgene encoding the human calcium-transporting ATPase type 2C member 1 (“ATP2C1”) for the treatment of HHD, a serious and rare monogenic skin disorder characterized by painful rash and blistering in skin folds and linked to low ATP2C1 expression levels in keratinocytes. Patients with HHD report debilitating symptoms of pain, itch, burning, infections, and body odor, as well severe, negative impacts on quality of life and psychological distress. The prevalence of HHD is not well characterized and is most commonly estimated at roughly 1 per 50,000, although underreporting is possible. Current disease management is supportive in nature and no specific therapy for HHD has been approved by the FDA or EMA. In preclinical studies presented at the Society for Investigative Dermatology 2025 Annual Meeting in May 2025, KB111 was shown to efficiently deliver </w:t>
      </w:r>
      <w:r>
        <w:rPr>
          <w:rFonts w:ascii="Times New Roman" w:cs="Times New Roman" w:eastAsia="Times New Roman" w:hAnsi="Times New Roman"/>
          <w:sz w:val="17"/>
          <w:szCs w:val="17"/>
          <w:i w:val="1"/>
          <w:iCs w:val="1"/>
          <w:color w:val="auto"/>
        </w:rPr>
        <w:t>ATP2C1</w:t>
      </w:r>
      <w:r>
        <w:rPr>
          <w:rFonts w:ascii="Times New Roman" w:cs="Times New Roman" w:eastAsia="Times New Roman" w:hAnsi="Times New Roman"/>
          <w:sz w:val="17"/>
          <w:szCs w:val="17"/>
          <w:color w:val="auto"/>
        </w:rPr>
        <w:t xml:space="preserve"> to keratinocytes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resulting in increased expression of functional ATP2C1. By increasing functional ATP2C1 levels in the skin, KB111 has the potential to accelerate lesion healing and meaningfully reduce disease burden for HHD patients.</w:t>
      </w:r>
    </w:p>
    <w:p>
      <w:pPr>
        <w:spacing w:after="0" w:line="73" w:lineRule="exact"/>
        <w:rPr>
          <w:sz w:val="20"/>
          <w:szCs w:val="20"/>
          <w:color w:val="auto"/>
        </w:rPr>
      </w:pPr>
    </w:p>
    <w:p>
      <w:pPr>
        <w:jc w:val="both"/>
        <w:ind w:firstLine="625"/>
        <w:spacing w:after="0" w:line="267" w:lineRule="auto"/>
        <w:rPr>
          <w:sz w:val="20"/>
          <w:szCs w:val="20"/>
          <w:color w:val="auto"/>
        </w:rPr>
      </w:pPr>
      <w:r>
        <w:rPr>
          <w:rFonts w:ascii="Times New Roman" w:cs="Times New Roman" w:eastAsia="Times New Roman" w:hAnsi="Times New Roman"/>
          <w:sz w:val="17"/>
          <w:szCs w:val="17"/>
          <w:color w:val="auto"/>
        </w:rPr>
        <w:t>In October 2025, the FDA cleared our investigational new drug application to evaluate KB111 in the clinic, and we expect to dose HHD patients in an intra-patient randomized, double-blind, placebo-controlled, multi-center study evaluating KB111 in HHD patients in the first half of 2026.</w:t>
      </w: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Aesthetics</w:t>
      </w:r>
    </w:p>
    <w:p>
      <w:pPr>
        <w:spacing w:after="0" w:line="99"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In addition to focusing on genetic medicines to treat patients with diseases with high unmet medical needs, we are leveraging the ability of our platform to deliver proteins of interest to cells in the skin in the context of aesthetic medicine via our wholly-owned subsidiary, Jeune Aesthetics, Inc. (“Jeune”).</w:t>
      </w:r>
    </w:p>
    <w:p>
      <w:pPr>
        <w:spacing w:after="0" w:line="42" w:lineRule="exact"/>
        <w:rPr>
          <w:sz w:val="20"/>
          <w:szCs w:val="20"/>
          <w:color w:val="auto"/>
        </w:rPr>
      </w:pPr>
    </w:p>
    <w:p>
      <w:pPr>
        <w:jc w:val="both"/>
        <w:ind w:firstLine="625"/>
        <w:spacing w:after="0" w:line="260" w:lineRule="auto"/>
        <w:rPr>
          <w:sz w:val="20"/>
          <w:szCs w:val="20"/>
          <w:color w:val="auto"/>
        </w:rPr>
      </w:pPr>
      <w:r>
        <w:rPr>
          <w:rFonts w:ascii="Times New Roman" w:cs="Times New Roman" w:eastAsia="Times New Roman" w:hAnsi="Times New Roman"/>
          <w:sz w:val="17"/>
          <w:szCs w:val="17"/>
          <w:color w:val="auto"/>
        </w:rPr>
        <w:t xml:space="preserve">In July 2025, Jeune announced positive safety and efficacy results, including significant improvements in key skin aesthetic attributes such as wrinkles and elasticity, in PEARL-2, a 2:1 randomized, double-blind, placebo-controlled Phase 1 study evaluating KB304, for the treatment of wrinkles of the décolleté. KB304 is a solution formulation of our novel vector for intradermal injection designed to deliver two copies of the </w:t>
      </w:r>
      <w:r>
        <w:rPr>
          <w:rFonts w:ascii="Times New Roman" w:cs="Times New Roman" w:eastAsia="Times New Roman" w:hAnsi="Times New Roman"/>
          <w:sz w:val="17"/>
          <w:szCs w:val="17"/>
          <w:i w:val="1"/>
          <w:iCs w:val="1"/>
          <w:color w:val="auto"/>
        </w:rPr>
        <w:t>COL3A1</w:t>
      </w:r>
      <w:r>
        <w:rPr>
          <w:rFonts w:ascii="Times New Roman" w:cs="Times New Roman" w:eastAsia="Times New Roman" w:hAnsi="Times New Roman"/>
          <w:sz w:val="17"/>
          <w:szCs w:val="17"/>
          <w:color w:val="auto"/>
        </w:rPr>
        <w:t xml:space="preserve"> transgene and one copy of the </w:t>
      </w:r>
      <w:r>
        <w:rPr>
          <w:rFonts w:ascii="Times New Roman" w:cs="Times New Roman" w:eastAsia="Times New Roman" w:hAnsi="Times New Roman"/>
          <w:sz w:val="17"/>
          <w:szCs w:val="17"/>
          <w:i w:val="1"/>
          <w:iCs w:val="1"/>
          <w:color w:val="auto"/>
        </w:rPr>
        <w:t>ELN</w:t>
      </w:r>
      <w:r>
        <w:rPr>
          <w:rFonts w:ascii="Times New Roman" w:cs="Times New Roman" w:eastAsia="Times New Roman" w:hAnsi="Times New Roman"/>
          <w:sz w:val="17"/>
          <w:szCs w:val="17"/>
          <w:color w:val="auto"/>
        </w:rPr>
        <w:t xml:space="preserve"> transgene to address various signs of skin aging including elasticity loss. Meaningful aesthetic improvements were reported by the investigator and subjects alike following KB304 treatment, with clear and statistically significant advantages over placebo. Improvements were reported not only for wrinkles but also multiple additional skin attributes, including elasticity, crepiness, hydration, and radiance. Increased subject satisfaction with wrinkle appearance was also reported, with clear separation from placebo. All adverse events were mild-to-moderate in severity and transient and no serious or severe adverse events were reported. The frequency and duration of adverse events also decreased with subsequent doses of KB304. Details of the PEARL-2 study can be found at www.clinicaltrials.gov under NCT identifier NCT06724900.</w:t>
      </w:r>
    </w:p>
    <w:p>
      <w:pPr>
        <w:spacing w:after="0" w:line="74"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Based on the broad aesthetic improvements observed following KB304 treatment in PEARL-2, Jeune is progressing KB304 into a Phase 2 study for the treatment of wrinkles of the décolleté. In support of the Phase 2 study, Jeune has developed</w:t>
      </w:r>
    </w:p>
    <w:p>
      <w:pPr>
        <w:spacing w:after="0" w:line="200" w:lineRule="exact"/>
        <w:rPr>
          <w:sz w:val="20"/>
          <w:szCs w:val="20"/>
          <w:color w:val="auto"/>
        </w:rPr>
      </w:pPr>
    </w:p>
    <w:p>
      <w:pPr>
        <w:spacing w:after="0" w:line="27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22" w:name="page23"/>
    <w:bookmarkEnd w:id="22"/>
    <w:p>
      <w:pPr>
        <w:jc w:val="both"/>
        <w:spacing w:after="0" w:line="294" w:lineRule="auto"/>
        <w:rPr>
          <w:sz w:val="20"/>
          <w:szCs w:val="20"/>
          <w:color w:val="auto"/>
        </w:rPr>
      </w:pPr>
      <w:r>
        <w:rPr>
          <w:rFonts w:ascii="Times New Roman" w:cs="Times New Roman" w:eastAsia="Times New Roman" w:hAnsi="Times New Roman"/>
          <w:sz w:val="17"/>
          <w:szCs w:val="17"/>
          <w:color w:val="auto"/>
        </w:rPr>
        <w:t>and validated a décolleté-specific photonumeric scale (“JDWS”) and, following feedback from the FDA in the second half of 2025, expects to initiate the Phase 2 study in the first half of 2026.</w:t>
      </w:r>
    </w:p>
    <w:p>
      <w:pPr>
        <w:spacing w:after="0" w:line="42" w:lineRule="exact"/>
        <w:rPr>
          <w:sz w:val="20"/>
          <w:szCs w:val="20"/>
          <w:color w:val="auto"/>
        </w:rPr>
      </w:pPr>
    </w:p>
    <w:p>
      <w:pPr>
        <w:jc w:val="both"/>
        <w:ind w:firstLine="625"/>
        <w:spacing w:after="0" w:line="262" w:lineRule="auto"/>
        <w:rPr>
          <w:sz w:val="20"/>
          <w:szCs w:val="20"/>
          <w:color w:val="auto"/>
        </w:rPr>
      </w:pPr>
      <w:r>
        <w:rPr>
          <w:rFonts w:ascii="Times New Roman" w:cs="Times New Roman" w:eastAsia="Times New Roman" w:hAnsi="Times New Roman"/>
          <w:sz w:val="17"/>
          <w:szCs w:val="17"/>
          <w:color w:val="auto"/>
        </w:rPr>
        <w:t xml:space="preserve">Jeune’s second clinical-stage program, KB301, is a solution formulation of our novel vector for intradermal injection designed to deliver two copies of the </w:t>
      </w:r>
      <w:r>
        <w:rPr>
          <w:rFonts w:ascii="Times New Roman" w:cs="Times New Roman" w:eastAsia="Times New Roman" w:hAnsi="Times New Roman"/>
          <w:sz w:val="17"/>
          <w:szCs w:val="17"/>
          <w:i w:val="1"/>
          <w:iCs w:val="1"/>
          <w:color w:val="auto"/>
        </w:rPr>
        <w:t>COL3A1</w:t>
      </w:r>
      <w:r>
        <w:rPr>
          <w:rFonts w:ascii="Times New Roman" w:cs="Times New Roman" w:eastAsia="Times New Roman" w:hAnsi="Times New Roman"/>
          <w:sz w:val="17"/>
          <w:szCs w:val="17"/>
          <w:color w:val="auto"/>
        </w:rPr>
        <w:t xml:space="preserve"> transgene to address signs of aging or damaged skin caused by declining levels of, or damaged proteins within the extracellular matrix, including type III collagen. In August 2024, Jeune announced positive interim safety and efficacy results from Cohorts 3 and 4 of the Phase 1 study, PEARL-1, open label studies evaluating KB301 in the treatment of lateral canthal lines at rest and dynamic wrinkles of the décolleté, respectively. Meaningful and sustained improvements in multiple skin aesthetic attributes, as well as increased subject satisfaction with wrinkle appearance, were reported. Details of the PEARL-1 study can be found at www.clinicaltrials.gov under NCT identifier NCT04540900. Jeune is currently evaluating aesthetic indications most suitable for the advanced clinical development of KB301.</w:t>
      </w:r>
    </w:p>
    <w:p>
      <w:pPr>
        <w:spacing w:after="0" w:line="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Jeune Aesthetics has several other aesthetic product candidates in various stages of preclinical development.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Overview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Revenue, Net</w:t>
      </w:r>
    </w:p>
    <w:p>
      <w:pPr>
        <w:spacing w:after="0" w:line="35" w:lineRule="exact"/>
        <w:rPr>
          <w:sz w:val="20"/>
          <w:szCs w:val="20"/>
          <w:color w:val="auto"/>
        </w:rPr>
      </w:pPr>
    </w:p>
    <w:p>
      <w:pPr>
        <w:jc w:val="both"/>
        <w:ind w:firstLine="625"/>
        <w:spacing w:after="0" w:line="259" w:lineRule="auto"/>
        <w:rPr>
          <w:sz w:val="20"/>
          <w:szCs w:val="20"/>
          <w:color w:val="auto"/>
        </w:rPr>
      </w:pPr>
      <w:r>
        <w:rPr>
          <w:rFonts w:ascii="Times New Roman" w:cs="Times New Roman" w:eastAsia="Times New Roman" w:hAnsi="Times New Roman"/>
          <w:sz w:val="17"/>
          <w:szCs w:val="17"/>
          <w:color w:val="auto"/>
        </w:rPr>
        <w:t>After FDA approval of VYJUVEK in May 2023, we began commercial marketing and sales and began recognizing revenue during the third quarter of 2023. Subsequently in April 2025 and July 2025, VYJUVEK was approved in Europe and Japan, respectively. Our future revenue will fluctuate from quarter to quarter for many reasons, including the uncertain timing and amount of any such sales. The transaction price that we recognize as revenue for VYJUVEK sales includes an estimate of variable consideration, which includes discounts, returns, copay assistance and rebates that are offered within contracts. Refer to Note 3 of the notes to the condensed consolidated financial statements included in this Quarterly Report on Form 10-Q for additional information.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121"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Cost of goods sold includes direct and indirect costs related to the manufacturing of VYJUVEK. These costs consist of manufacturing costs, personnel costs including stock-based compensation, facility costs, and other indirect overhead costs. Cost of goods sold may also include period costs related to certain manufacturing services and inventory adjustment charges.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21"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to advance our preclinical and clinical development programs and the development and manufacturing of our product candidates, which include:</w:t>
      </w:r>
    </w:p>
    <w:p>
      <w:pPr>
        <w:spacing w:after="0" w:line="42" w:lineRule="exact"/>
        <w:rPr>
          <w:sz w:val="20"/>
          <w:szCs w:val="20"/>
          <w:color w:val="auto"/>
        </w:rPr>
      </w:pPr>
    </w:p>
    <w:p>
      <w:pPr>
        <w:ind w:left="940" w:hanging="311"/>
        <w:spacing w:after="0" w:line="294" w:lineRule="auto"/>
        <w:tabs>
          <w:tab w:leader="none" w:pos="9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agreements with contract research organizations, consultants and other third parties that conduct preclinical activities, clinical trials and other research and development activities on our behalf;</w:t>
      </w:r>
    </w:p>
    <w:p>
      <w:pPr>
        <w:spacing w:after="0" w:line="4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acquiring, developing and manufacturing product candidates and clinical trial materials, lab supplies and consumables;</w:t>
      </w:r>
    </w:p>
    <w:p>
      <w:pPr>
        <w:spacing w:after="0" w:line="11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facility costs, depreciation and other related expenses, which include expenses for rent and the maintenance of our facilities;</w:t>
      </w:r>
    </w:p>
    <w:p>
      <w:pPr>
        <w:spacing w:after="0" w:line="11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testing and support costs and supplies; and</w:t>
      </w:r>
    </w:p>
    <w:p>
      <w:pPr>
        <w:spacing w:after="0" w:line="11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payroll related expenses, including stock-based compensation expense.</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expense research and development costs to operations as incurred.</w:t>
      </w:r>
    </w:p>
    <w:p>
      <w:pPr>
        <w:spacing w:after="0" w:line="117"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A significant portion of our research and development expenses are not allocated to individual products or programs, as certain expenses benefit multiple product candidates and preclinical development programs. For example, we do not allocate costs associated with stock-based compensation, certain manufacturing related costs, rent, storage, depreciation, or other facility related costs.</w:t>
      </w:r>
    </w:p>
    <w:p>
      <w:pPr>
        <w:spacing w:after="0" w:line="60"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We expect our research and development expenses will increase as we continue the manufacturing of preclinical and clinical materials, manage the clinical trials of and seek regulatory approval for our product candidates and as we expand our product portfolio. Due to the numerous risks and uncertainties associated with product development, we cannot determine with certainty the duration, costs and timing of clinical trials, and as a result, the actual costs to complete clinical trials may exceed the expected costs.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21"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Selling, general and administrative expenses consist principally of salaries and other related costs, including stock-based compensation for personnel in our executive, finance, legal, commercial, business development, information technology</w:t>
      </w:r>
    </w:p>
    <w:p>
      <w:pPr>
        <w:spacing w:after="0" w:line="200" w:lineRule="exact"/>
        <w:rPr>
          <w:sz w:val="20"/>
          <w:szCs w:val="20"/>
          <w:color w:val="auto"/>
        </w:rPr>
      </w:pPr>
    </w:p>
    <w:p>
      <w:pPr>
        <w:spacing w:after="0" w:line="27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23" w:name="page24"/>
    <w:bookmarkEnd w:id="23"/>
    <w:p>
      <w:pPr>
        <w:jc w:val="both"/>
        <w:spacing w:after="0" w:line="268" w:lineRule="auto"/>
        <w:rPr>
          <w:sz w:val="20"/>
          <w:szCs w:val="20"/>
          <w:color w:val="auto"/>
        </w:rPr>
      </w:pPr>
      <w:r>
        <w:rPr>
          <w:rFonts w:ascii="Times New Roman" w:cs="Times New Roman" w:eastAsia="Times New Roman" w:hAnsi="Times New Roman"/>
          <w:sz w:val="17"/>
          <w:szCs w:val="17"/>
          <w:color w:val="auto"/>
        </w:rPr>
        <w:t>and other general and administrative functions. Selling, general and administrative expenses also include professional fees associated with corporate and intellectual property-related legal expenses, consulting and accounting services, insurance, facility-related costs and expenses associated with obtaining and maintaining patents. Other selling, general and administrative costs include travel expenses, patient access program costs, management service fees, marketing expenses, and selling expenses which include transportation, shipping and handling fees.</w:t>
      </w:r>
    </w:p>
    <w:p>
      <w:pPr>
        <w:spacing w:after="0" w:line="65"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We anticipate that our selling, general and administrative expenses will increase in the future relating to our commercialization efforts and to support the development of our product candidates. These increases will likely include increased costs for insurance, costs related to the hiring of additional personnel and payments to outside consultants, lawyers and accountants, among other expenses. Additionally, we anticipate that we will continue to increase our salary and personnel costs and other expenses to support B-VEC commercialization globally.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Net</w:t>
      </w:r>
    </w:p>
    <w:p>
      <w:pPr>
        <w:spacing w:after="0" w:line="121"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Interest and other income, net consists primarily of income earned from our cash, cash equivalents and investments and gains and losses on foreign currency transactions.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Significant Judgments and Estimates</w:t>
      </w:r>
    </w:p>
    <w:p>
      <w:pPr>
        <w:spacing w:after="0" w:line="119"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There have been no significant changes during the nine months ended September 30, 2025 to our critical accounting policies, significant judgments and estimates as disclosed in our management’s discussion and analysis of financial condition and results of operations included in the 2024 10-K.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9"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financial statements, which have been prepared in accordance with U.S. generally accepted accounting principles, or GAAP. The preparation of financial statements in conformity with GAAP requires us to make estimates and assumptions that affect the amounts reported in the financial statements and accompanying notes.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September 30, 2025 and 2024</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640" w:type="dxa"/>
            <w:vAlign w:val="bottom"/>
            <w:gridSpan w:val="6"/>
          </w:tcPr>
          <w:p>
            <w:pPr>
              <w:ind w:left="4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460" w:type="dxa"/>
            <w:vAlign w:val="bottom"/>
          </w:tcPr>
          <w:p>
            <w:pPr>
              <w:spacing w:after="0"/>
              <w:rPr>
                <w:sz w:val="24"/>
                <w:szCs w:val="24"/>
                <w:color w:val="auto"/>
              </w:rPr>
            </w:pPr>
          </w:p>
        </w:tc>
        <w:tc>
          <w:tcPr>
            <w:tcW w:w="1940" w:type="dxa"/>
            <w:vAlign w:val="bottom"/>
            <w:gridSpan w:val="3"/>
          </w:tcPr>
          <w:p>
            <w:pPr>
              <w:ind w:left="11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30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4"/>
        </w:trPr>
        <w:tc>
          <w:tcPr>
            <w:tcW w:w="2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100" w:type="dxa"/>
            <w:vAlign w:val="bottom"/>
          </w:tcPr>
          <w:p>
            <w:pPr>
              <w:spacing w:after="0"/>
              <w:rPr>
                <w:sz w:val="18"/>
                <w:szCs w:val="18"/>
                <w:color w:val="auto"/>
              </w:rPr>
            </w:pPr>
          </w:p>
        </w:tc>
        <w:tc>
          <w:tcPr>
            <w:tcW w:w="126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 net</w:t>
            </w: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r>
      <w:tr>
        <w:trPr>
          <w:trHeight w:val="221"/>
        </w:trPr>
        <w:tc>
          <w:tcPr>
            <w:tcW w:w="2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goods sold</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1"/>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21"/>
        </w:trPr>
        <w:tc>
          <w:tcPr>
            <w:tcW w:w="2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37,578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r>
      <w:tr>
        <w:trPr>
          <w:trHeight w:val="221"/>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Litigation settlement</w:t>
            </w:r>
          </w:p>
        </w:tc>
        <w:tc>
          <w:tcPr>
            <w:tcW w:w="1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4"/>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56,426</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61,369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(4,943)</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4"/>
        </w:trPr>
        <w:tc>
          <w:tcPr>
            <w:tcW w:w="2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from operations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41,374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18,902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84 %</w:t>
            </w:r>
          </w:p>
        </w:tc>
      </w:tr>
      <w:tr>
        <w:trPr>
          <w:trHeight w:val="221"/>
        </w:trPr>
        <w:tc>
          <w:tcPr>
            <w:tcW w:w="2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3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4"/>
        </w:trPr>
        <w:tc>
          <w:tcPr>
            <w:tcW w:w="20" w:type="dxa"/>
            <w:vAlign w:val="bottom"/>
          </w:tcPr>
          <w:p>
            <w:pPr>
              <w:spacing w:after="0"/>
              <w:rPr>
                <w:sz w:val="18"/>
                <w:szCs w:val="18"/>
                <w:color w:val="auto"/>
              </w:rPr>
            </w:pPr>
          </w:p>
        </w:tc>
        <w:tc>
          <w:tcPr>
            <w:tcW w:w="3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47,967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29,769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r>
      <w:tr>
        <w:trPr>
          <w:trHeight w:val="221"/>
        </w:trPr>
        <w:tc>
          <w:tcPr>
            <w:tcW w:w="20" w:type="dxa"/>
            <w:vAlign w:val="bottom"/>
          </w:tcPr>
          <w:p>
            <w:pPr>
              <w:spacing w:after="0"/>
              <w:rPr>
                <w:sz w:val="19"/>
                <w:szCs w:val="19"/>
                <w:color w:val="auto"/>
              </w:rPr>
            </w:pPr>
          </w:p>
        </w:tc>
        <w:tc>
          <w:tcPr>
            <w:tcW w:w="38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31,398</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33,987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(1313)%</w:t>
            </w:r>
          </w:p>
        </w:tc>
      </w:tr>
      <w:tr>
        <w:trPr>
          <w:trHeight w:val="239"/>
        </w:trPr>
        <w:tc>
          <w:tcPr>
            <w:tcW w:w="20" w:type="dxa"/>
            <w:vAlign w:val="bottom"/>
          </w:tcPr>
          <w:p>
            <w:pPr>
              <w:spacing w:after="0"/>
              <w:rPr>
                <w:sz w:val="20"/>
                <w:szCs w:val="20"/>
                <w:color w:val="auto"/>
              </w:rPr>
            </w:pPr>
          </w:p>
        </w:tc>
        <w:tc>
          <w:tcPr>
            <w:tcW w:w="38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income</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79,365</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52,185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192 %</w:t>
            </w: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Revenue, Net</w:t>
      </w:r>
    </w:p>
    <w:p>
      <w:pPr>
        <w:spacing w:after="0" w:line="119"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Product revenue, net was $97.8 million for the three months ended September 30, 2025, as compared to $83.8 million for the three months ended September 30, 2024. The increase in product revenue, net was driven by an increase in VYJUVEK sales as compared to the prior year.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Goods Sold</w:t>
      </w:r>
    </w:p>
    <w:p>
      <w:pPr>
        <w:spacing w:after="0" w:line="119"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Cost of goods sold was $4.3 million for the three months ended September 30, 2025, as compared to $6.7 million for the three months ended September 30, 2024, representing a decrease primarily due to manufacturing process optimizations that resulted in lower average costs per unit of VYJUVEK partially offset by an increase in units sold.</w:t>
      </w:r>
    </w:p>
    <w:p>
      <w:pPr>
        <w:spacing w:after="0" w:line="200" w:lineRule="exact"/>
        <w:rPr>
          <w:sz w:val="20"/>
          <w:szCs w:val="20"/>
          <w:color w:val="auto"/>
        </w:rPr>
      </w:pPr>
    </w:p>
    <w:p>
      <w:pPr>
        <w:spacing w:after="0" w:line="29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19"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The following table summarizes our research and development expenses by product candidate or program, and for unallocated expenses, by type, for the three months ended September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3620" w:type="dxa"/>
            <w:vAlign w:val="bottom"/>
            <w:gridSpan w:val="6"/>
          </w:tcPr>
          <w:p>
            <w:pPr>
              <w:ind w:left="4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460" w:type="dxa"/>
            <w:vAlign w:val="bottom"/>
          </w:tcPr>
          <w:p>
            <w:pPr>
              <w:spacing w:after="0"/>
              <w:rPr>
                <w:sz w:val="19"/>
                <w:szCs w:val="19"/>
                <w:color w:val="auto"/>
              </w:rPr>
            </w:pPr>
          </w:p>
        </w:tc>
        <w:tc>
          <w:tcPr>
            <w:tcW w:w="1940" w:type="dxa"/>
            <w:vAlign w:val="bottom"/>
            <w:gridSpan w:val="3"/>
          </w:tcPr>
          <w:p>
            <w:pPr>
              <w:ind w:left="11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4"/>
        </w:trPr>
        <w:tc>
          <w:tcPr>
            <w:tcW w:w="39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B-VEC</w:t>
            </w: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221"/>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KB111</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KB301</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1"/>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KB304</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KB407</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238 %</w:t>
            </w:r>
          </w:p>
        </w:tc>
        <w:tc>
          <w:tcPr>
            <w:tcW w:w="0" w:type="dxa"/>
            <w:vAlign w:val="bottom"/>
          </w:tcPr>
          <w:p>
            <w:pPr>
              <w:spacing w:after="0"/>
              <w:rPr>
                <w:sz w:val="1"/>
                <w:szCs w:val="1"/>
                <w:color w:val="auto"/>
              </w:rPr>
            </w:pPr>
          </w:p>
        </w:tc>
      </w:tr>
      <w:tr>
        <w:trPr>
          <w:trHeight w:val="221"/>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KB408</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KB707</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1"/>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KB801</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115 %</w:t>
            </w: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KB803</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123 %</w:t>
            </w:r>
          </w:p>
        </w:tc>
        <w:tc>
          <w:tcPr>
            <w:tcW w:w="0" w:type="dxa"/>
            <w:vAlign w:val="bottom"/>
          </w:tcPr>
          <w:p>
            <w:pPr>
              <w:spacing w:after="0"/>
              <w:rPr>
                <w:sz w:val="1"/>
                <w:szCs w:val="1"/>
                <w:color w:val="auto"/>
              </w:rPr>
            </w:pPr>
          </w:p>
        </w:tc>
      </w:tr>
      <w:tr>
        <w:trPr>
          <w:trHeight w:val="221"/>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dermatology programs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ophthalmology programs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21"/>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research programs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development programs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21"/>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line="222" w:lineRule="exact"/>
              <w:rPr>
                <w:sz w:val="20"/>
                <w:szCs w:val="20"/>
                <w:color w:val="auto"/>
              </w:rPr>
            </w:pPr>
            <w:r>
              <w:rPr>
                <w:rFonts w:ascii="Times New Roman" w:cs="Times New Roman" w:eastAsia="Times New Roman" w:hAnsi="Times New Roman"/>
                <w:sz w:val="17"/>
                <w:szCs w:val="17"/>
                <w:color w:val="auto"/>
              </w:rPr>
              <w:t>Other unallocated expenses</w:t>
            </w:r>
            <w:r>
              <w:rPr>
                <w:rFonts w:ascii="Times New Roman" w:cs="Times New Roman" w:eastAsia="Times New Roman" w:hAnsi="Times New Roman"/>
                <w:sz w:val="22"/>
                <w:szCs w:val="22"/>
                <w:color w:val="auto"/>
                <w:vertAlign w:val="superscript"/>
              </w:rPr>
              <w:t>(1)</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4"/>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14,585</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13,512</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10420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322" w:lineRule="exact"/>
        <w:rPr>
          <w:sz w:val="20"/>
          <w:szCs w:val="20"/>
          <w:color w:val="auto"/>
        </w:rPr>
      </w:pPr>
    </w:p>
    <w:p>
      <w:pPr>
        <w:ind w:left="620" w:hanging="616"/>
        <w:spacing w:after="0" w:line="283" w:lineRule="auto"/>
        <w:tabs>
          <w:tab w:leader="none" w:pos="61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expenses consist of shared pre-commercial manufacturing costs, primarily relating to certain raw materials, process development, quality control and quality assurance activities, as well as other manufacturing and facility related costs including rent, storage and depreciation which support the development of multiple product candidates.</w:t>
      </w:r>
    </w:p>
    <w:p>
      <w:pPr>
        <w:spacing w:after="0" w:line="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Research and development expenses increased by $1.1 million for the three months ended September 30, 2025 as compared to the three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 The increase in research and development expenses was primarily attributable to:</w:t>
      </w:r>
    </w:p>
    <w:p>
      <w:pPr>
        <w:spacing w:after="0" w:line="99" w:lineRule="exact"/>
        <w:rPr>
          <w:sz w:val="20"/>
          <w:szCs w:val="20"/>
          <w:color w:val="auto"/>
        </w:rPr>
      </w:pPr>
    </w:p>
    <w:p>
      <w:pPr>
        <w:ind w:left="940" w:hanging="311"/>
        <w:spacing w:after="0" w:line="294" w:lineRule="auto"/>
        <w:tabs>
          <w:tab w:leader="none" w:pos="9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net increase of $549 thousand in manufacturing costs driven by the timing of production runs across our product candidates and programs, mainly due to an increase in B-VEC and KB407 runs offset by a decrease in KB408 and KB707 runs; and</w:t>
      </w:r>
    </w:p>
    <w:p>
      <w:pPr>
        <w:spacing w:after="0" w:line="42" w:lineRule="exact"/>
        <w:rPr>
          <w:rFonts w:ascii="Times New Roman" w:cs="Times New Roman" w:eastAsia="Times New Roman" w:hAnsi="Times New Roman"/>
          <w:sz w:val="17"/>
          <w:szCs w:val="17"/>
          <w:color w:val="auto"/>
        </w:rPr>
      </w:pPr>
    </w:p>
    <w:p>
      <w:pPr>
        <w:ind w:left="940" w:hanging="311"/>
        <w:spacing w:after="0" w:line="294" w:lineRule="auto"/>
        <w:tabs>
          <w:tab w:leader="none" w:pos="9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net increase of $797 thousand in payroll related costs, inclusive of $316 thousand in stock-based compensation, to support our research and development across our product candidates and programs, primarily due to an increase in KB111, KB801, and other research programs.</w:t>
      </w:r>
    </w:p>
    <w:p>
      <w:pPr>
        <w:spacing w:after="0" w:line="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These increases were partially offset by:</w:t>
      </w:r>
    </w:p>
    <w:p>
      <w:pPr>
        <w:spacing w:after="0" w:line="117" w:lineRule="exact"/>
        <w:rPr>
          <w:sz w:val="20"/>
          <w:szCs w:val="20"/>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$349 thousand in other unallocated expenses due to fewer facilities and equipment related costs in the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119"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Selling, general and administrative expenses increased $8.9 million in the three months ended September 30, 2025 as compared to the three months ended September 30, 2024. The increase was primarily driven by the following:</w:t>
      </w:r>
    </w:p>
    <w:p>
      <w:pPr>
        <w:spacing w:after="0" w:line="42" w:lineRule="exact"/>
        <w:rPr>
          <w:sz w:val="20"/>
          <w:szCs w:val="20"/>
          <w:color w:val="auto"/>
        </w:rPr>
      </w:pPr>
    </w:p>
    <w:p>
      <w:pPr>
        <w:ind w:left="940" w:hanging="311"/>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$3.5 million related to professional services, including legal and consulting services;</w:t>
      </w:r>
    </w:p>
    <w:p>
      <w:pPr>
        <w:spacing w:after="0" w:line="11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$1.8 million in payroll-related costs;</w:t>
      </w:r>
    </w:p>
    <w:p>
      <w:pPr>
        <w:spacing w:after="0" w:line="11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$1.8 million in marketing costs to support commercial sales of VYJUVEK;</w:t>
      </w:r>
    </w:p>
    <w:p>
      <w:pPr>
        <w:spacing w:after="0" w:line="117" w:lineRule="exact"/>
        <w:rPr>
          <w:rFonts w:ascii="Times New Roman" w:cs="Times New Roman" w:eastAsia="Times New Roman" w:hAnsi="Times New Roman"/>
          <w:sz w:val="17"/>
          <w:szCs w:val="17"/>
          <w:color w:val="auto"/>
        </w:rPr>
      </w:pPr>
    </w:p>
    <w:p>
      <w:pPr>
        <w:ind w:left="940" w:hanging="311"/>
        <w:spacing w:after="0" w:line="294" w:lineRule="auto"/>
        <w:tabs>
          <w:tab w:leader="none" w:pos="9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$1.2 million in other general and administrative costs, including $286 thousand in subscription expense, $250 thousand in charitable contributions, and $222 thousand in facilities expense; and</w:t>
      </w:r>
    </w:p>
    <w:p>
      <w:pPr>
        <w:spacing w:after="0" w:line="4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$663 thousand primarily related to higher costs associated with our patient access program.</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increases were partially offset by:</w:t>
      </w:r>
    </w:p>
    <w:p>
      <w:pPr>
        <w:spacing w:after="0" w:line="200" w:lineRule="exact"/>
        <w:rPr>
          <w:sz w:val="20"/>
          <w:szCs w:val="20"/>
          <w:color w:val="auto"/>
        </w:rPr>
      </w:pPr>
    </w:p>
    <w:p>
      <w:pPr>
        <w:spacing w:after="0" w:line="34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5" w:name="page26"/>
    <w:bookmarkEnd w:id="25"/>
    <w:p>
      <w:pPr>
        <w:ind w:left="940" w:hanging="311"/>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$479 thousand in stock-based compensation.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Litigation Settlement</w:t>
      </w:r>
    </w:p>
    <w:p>
      <w:pPr>
        <w:spacing w:after="0" w:line="119" w:lineRule="exact"/>
        <w:rPr>
          <w:sz w:val="20"/>
          <w:szCs w:val="20"/>
          <w:color w:val="auto"/>
        </w:rPr>
      </w:pPr>
    </w:p>
    <w:p>
      <w:pPr>
        <w:ind w:right="160" w:firstLine="625"/>
        <w:spacing w:after="0" w:line="274" w:lineRule="auto"/>
        <w:rPr>
          <w:sz w:val="20"/>
          <w:szCs w:val="20"/>
          <w:color w:val="auto"/>
        </w:rPr>
      </w:pPr>
      <w:r>
        <w:rPr>
          <w:rFonts w:ascii="Times New Roman" w:cs="Times New Roman" w:eastAsia="Times New Roman" w:hAnsi="Times New Roman"/>
          <w:sz w:val="17"/>
          <w:szCs w:val="17"/>
          <w:color w:val="auto"/>
        </w:rPr>
        <w:t>Litigation settlement for the three months ended September 30, 2025 and 2024 was zero and $12.5 million, respectively, and consisted of amounts related to the settlement of litigation with PeriphaGen. See discussion in Note 7 of the notes to consolidated financial statements included in the 2024 10-K and in this Quarterly Report on Form 10-Q for more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and Other Income, Net</w:t>
      </w:r>
    </w:p>
    <w:p>
      <w:pPr>
        <w:spacing w:after="0" w:line="119"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Interest and other income, net was $6.6 million and $7.3 million for the three months ended September 30, 2025 and 2024, respectively, and consisted of interest and dividend income earned from our cash, cash equivalents and investments as well as the effects of foreign exchange rates.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119"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Income tax benefit for the three months ended September 30, 2025 was $31.4 million and income tax expense was $2.6 million for the three months ended September 30, 2024,, which relates to state, federal and foreign income taxes. In the third quarter of 2025, we determined that it was more likely than not that the benefit from certain of our deferred tax assets will be realized. Accordingly, the related valuation allowance was released and a one-time benefit was recognized. See discussion in Note 10 of the notes to consolidated financial statements included in this Quarterly Report on Form 10-Q for more information.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Nine Months Ended September 30, 2025 and 2024</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2"/>
        </w:trPr>
        <w:tc>
          <w:tcPr>
            <w:tcW w:w="3900" w:type="dxa"/>
            <w:vAlign w:val="bottom"/>
          </w:tcPr>
          <w:p>
            <w:pPr>
              <w:spacing w:after="0"/>
              <w:rPr>
                <w:sz w:val="24"/>
                <w:szCs w:val="24"/>
                <w:color w:val="auto"/>
              </w:rPr>
            </w:pPr>
          </w:p>
        </w:tc>
        <w:tc>
          <w:tcPr>
            <w:tcW w:w="3640" w:type="dxa"/>
            <w:vAlign w:val="bottom"/>
            <w:gridSpan w:val="6"/>
          </w:tcPr>
          <w:p>
            <w:pPr>
              <w:ind w:left="4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460" w:type="dxa"/>
            <w:vAlign w:val="bottom"/>
          </w:tcPr>
          <w:p>
            <w:pPr>
              <w:spacing w:after="0"/>
              <w:rPr>
                <w:sz w:val="24"/>
                <w:szCs w:val="24"/>
                <w:color w:val="auto"/>
              </w:rPr>
            </w:pPr>
          </w:p>
        </w:tc>
        <w:tc>
          <w:tcPr>
            <w:tcW w:w="1940" w:type="dxa"/>
            <w:vAlign w:val="bottom"/>
            <w:gridSpan w:val="3"/>
          </w:tcPr>
          <w:p>
            <w:pPr>
              <w:ind w:left="11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300" w:type="dxa"/>
            <w:vAlign w:val="bottom"/>
          </w:tcPr>
          <w:p>
            <w:pPr>
              <w:spacing w:after="0"/>
              <w:rPr>
                <w:sz w:val="24"/>
                <w:szCs w:val="24"/>
                <w:color w:val="auto"/>
              </w:rPr>
            </w:pPr>
          </w:p>
        </w:tc>
      </w:tr>
      <w:tr>
        <w:trPr>
          <w:trHeight w:val="214"/>
        </w:trPr>
        <w:tc>
          <w:tcPr>
            <w:tcW w:w="39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4"/>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0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r>
      <w:tr>
        <w:trPr>
          <w:trHeight w:val="21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 net</w:t>
            </w: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282,025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199,376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82,649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r>
      <w:tr>
        <w:trPr>
          <w:trHeight w:val="221"/>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1"/>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goods sold</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21"/>
        </w:trPr>
        <w:tc>
          <w:tcPr>
            <w:tcW w:w="3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43,251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40,052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21"/>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105,292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82,339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22,953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r>
      <w:tr>
        <w:trPr>
          <w:trHeight w:val="221"/>
        </w:trPr>
        <w:tc>
          <w:tcPr>
            <w:tcW w:w="3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settlement</w:t>
            </w:r>
          </w:p>
        </w:tc>
        <w:tc>
          <w:tcPr>
            <w:tcW w:w="10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4"/>
        </w:trPr>
        <w:tc>
          <w:tcPr>
            <w:tcW w:w="39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165,000</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175,003</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(10,003)</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4"/>
        </w:trPr>
        <w:tc>
          <w:tcPr>
            <w:tcW w:w="3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from operations</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117,025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92,652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380 %</w:t>
            </w:r>
          </w:p>
        </w:tc>
      </w:tr>
      <w:tr>
        <w:trPr>
          <w:trHeight w:val="22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1"/>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21,315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22,373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4"/>
        </w:trPr>
        <w:tc>
          <w:tcPr>
            <w:tcW w:w="3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138,340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46,746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91,594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196 %</w:t>
            </w:r>
          </w:p>
        </w:tc>
      </w:tr>
      <w:tr>
        <w:trPr>
          <w:trHeight w:val="221"/>
        </w:trPr>
        <w:tc>
          <w:tcPr>
            <w:tcW w:w="3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15,091</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18,157</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39"/>
        </w:trPr>
        <w:tc>
          <w:tcPr>
            <w:tcW w:w="39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153,431</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43,680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109,751</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251 %</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Products Revenue, net</w:t>
      </w:r>
    </w:p>
    <w:p>
      <w:pPr>
        <w:spacing w:after="0" w:line="119"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Product revenue, net was $282.0 million for the nine months ended September 30, 2025 as compared to $199.4 million for the nine months ended September 30, 2024. The increase in product revenue, net was driven by an increase in VYJUVEK sales as compared to the prior year.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Goods Sold</w:t>
      </w:r>
    </w:p>
    <w:p>
      <w:pPr>
        <w:spacing w:after="0" w:line="119" w:lineRule="exact"/>
        <w:rPr>
          <w:sz w:val="20"/>
          <w:szCs w:val="20"/>
          <w:color w:val="auto"/>
        </w:rPr>
      </w:pPr>
    </w:p>
    <w:p>
      <w:pPr>
        <w:jc w:val="both"/>
        <w:ind w:firstLine="625"/>
        <w:spacing w:after="0" w:line="286" w:lineRule="auto"/>
        <w:rPr>
          <w:sz w:val="20"/>
          <w:szCs w:val="20"/>
          <w:color w:val="auto"/>
        </w:rPr>
      </w:pPr>
      <w:r>
        <w:rPr>
          <w:rFonts w:ascii="Times New Roman" w:cs="Times New Roman" w:eastAsia="Times New Roman" w:hAnsi="Times New Roman"/>
          <w:sz w:val="17"/>
          <w:szCs w:val="17"/>
          <w:color w:val="auto"/>
        </w:rPr>
        <w:t>Cost of goods sold was $16.5 million for the nine months ended September 30, 2025 as compared to $15.1 million for the nine months ended September 30, 2024, due to an increase in units sold partially offset by manufacturing process optimizations that resulted in lower average costs per unit of VYJUVEK.</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19" w:lineRule="exact"/>
        <w:rPr>
          <w:sz w:val="20"/>
          <w:szCs w:val="20"/>
          <w:color w:val="auto"/>
        </w:rPr>
      </w:pPr>
    </w:p>
    <w:p>
      <w:pPr>
        <w:ind w:firstLine="547"/>
        <w:spacing w:after="0" w:line="294" w:lineRule="auto"/>
        <w:rPr>
          <w:sz w:val="20"/>
          <w:szCs w:val="20"/>
          <w:color w:val="auto"/>
        </w:rPr>
      </w:pPr>
      <w:r>
        <w:rPr>
          <w:rFonts w:ascii="Times New Roman" w:cs="Times New Roman" w:eastAsia="Times New Roman" w:hAnsi="Times New Roman"/>
          <w:sz w:val="17"/>
          <w:szCs w:val="17"/>
          <w:color w:val="auto"/>
        </w:rPr>
        <w:t>The following table summarizes our research and development expenses by product candidate or program, and for unallocated expenses, by type, for the nine months ended September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3640" w:type="dxa"/>
            <w:vAlign w:val="bottom"/>
            <w:gridSpan w:val="6"/>
          </w:tcPr>
          <w:p>
            <w:pPr>
              <w:ind w:left="4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460" w:type="dxa"/>
            <w:vAlign w:val="bottom"/>
          </w:tcPr>
          <w:p>
            <w:pPr>
              <w:spacing w:after="0"/>
              <w:rPr>
                <w:sz w:val="19"/>
                <w:szCs w:val="19"/>
                <w:color w:val="auto"/>
              </w:rPr>
            </w:pPr>
          </w:p>
        </w:tc>
        <w:tc>
          <w:tcPr>
            <w:tcW w:w="1940" w:type="dxa"/>
            <w:vAlign w:val="bottom"/>
            <w:gridSpan w:val="3"/>
          </w:tcPr>
          <w:p>
            <w:pPr>
              <w:ind w:left="11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4"/>
        </w:trPr>
        <w:tc>
          <w:tcPr>
            <w:tcW w:w="39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B-VEC</w:t>
            </w: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1"/>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KB111</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KB301</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21"/>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KB304</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KB407</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1"/>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KB408</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KB707</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21"/>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KB801</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231 %</w:t>
            </w: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KB803</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228 %</w:t>
            </w:r>
          </w:p>
        </w:tc>
        <w:tc>
          <w:tcPr>
            <w:tcW w:w="0" w:type="dxa"/>
            <w:vAlign w:val="bottom"/>
          </w:tcPr>
          <w:p>
            <w:pPr>
              <w:spacing w:after="0"/>
              <w:rPr>
                <w:sz w:val="1"/>
                <w:szCs w:val="1"/>
                <w:color w:val="auto"/>
              </w:rPr>
            </w:pPr>
          </w:p>
        </w:tc>
      </w:tr>
      <w:tr>
        <w:trPr>
          <w:trHeight w:val="221"/>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dermatology programs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ophthalmology programs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21"/>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research programs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development programs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21"/>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ind w:left="60"/>
              <w:spacing w:after="0" w:line="222" w:lineRule="exact"/>
              <w:rPr>
                <w:sz w:val="20"/>
                <w:szCs w:val="20"/>
                <w:color w:val="auto"/>
              </w:rPr>
            </w:pPr>
            <w:r>
              <w:rPr>
                <w:rFonts w:ascii="Times New Roman" w:cs="Times New Roman" w:eastAsia="Times New Roman" w:hAnsi="Times New Roman"/>
                <w:sz w:val="17"/>
                <w:szCs w:val="17"/>
                <w:color w:val="auto"/>
              </w:rPr>
              <w:t>Other unallocated expenses</w:t>
            </w:r>
            <w:r>
              <w:rPr>
                <w:rFonts w:ascii="Times New Roman" w:cs="Times New Roman" w:eastAsia="Times New Roman" w:hAnsi="Times New Roman"/>
                <w:sz w:val="22"/>
                <w:szCs w:val="22"/>
                <w:color w:val="auto"/>
                <w:vertAlign w:val="superscript"/>
              </w:rPr>
              <w:t>(1)</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14"/>
        </w:trPr>
        <w:tc>
          <w:tcPr>
            <w:tcW w:w="3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43,251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40,052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173990</wp:posOffset>
            </wp:positionV>
            <wp:extent cx="10420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322" w:lineRule="exact"/>
        <w:rPr>
          <w:sz w:val="20"/>
          <w:szCs w:val="20"/>
          <w:color w:val="auto"/>
        </w:rPr>
      </w:pPr>
    </w:p>
    <w:p>
      <w:pPr>
        <w:ind w:left="620" w:hanging="616"/>
        <w:spacing w:after="0" w:line="283" w:lineRule="auto"/>
        <w:tabs>
          <w:tab w:leader="none" w:pos="6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expenses consist of shared pre-commercial manufacturing costs, primarily relating to certain raw materials, process development, quality control and quality assurance activities, as well as other manufacturing and facility related costs including rent, storage and depreciation which support the development of multiple product candidates.</w:t>
      </w:r>
    </w:p>
    <w:p>
      <w:pPr>
        <w:spacing w:after="0" w:line="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Research and development expenses increased by $3.2 million in the nine months ended September 30, 2025 as compared to the nine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 The increase in research and development expenses was primarily attributable to:</w:t>
      </w:r>
    </w:p>
    <w:p>
      <w:pPr>
        <w:spacing w:after="0" w:line="99" w:lineRule="exact"/>
        <w:rPr>
          <w:sz w:val="20"/>
          <w:szCs w:val="20"/>
          <w:color w:val="auto"/>
        </w:rPr>
      </w:pPr>
    </w:p>
    <w:p>
      <w:pPr>
        <w:ind w:left="940" w:hanging="311"/>
        <w:spacing w:after="0" w:line="294" w:lineRule="auto"/>
        <w:tabs>
          <w:tab w:leader="none" w:pos="93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 net increase of $1.3 million in clinical development costs, primarily due to an increase in KB707 costs related to our Phase 1/2 clinical trials for inhaled KB707;</w:t>
      </w:r>
    </w:p>
    <w:p>
      <w:pPr>
        <w:spacing w:after="0" w:line="42" w:lineRule="exact"/>
        <w:rPr>
          <w:rFonts w:ascii="Times New Roman" w:cs="Times New Roman" w:eastAsia="Times New Roman" w:hAnsi="Times New Roman"/>
          <w:sz w:val="14"/>
          <w:szCs w:val="14"/>
          <w:color w:val="auto"/>
        </w:rPr>
      </w:pPr>
    </w:p>
    <w:p>
      <w:pPr>
        <w:ind w:left="940" w:hanging="311"/>
        <w:spacing w:after="0" w:line="294" w:lineRule="auto"/>
        <w:tabs>
          <w:tab w:leader="none" w:pos="9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net increase of $2.2 million in payroll related expenses, inclusive of $772 thousand of stock-based compensation, to support our research and development primarily due to an increase in KB111, KB707, KB801, KB803, and other research programs;</w:t>
      </w:r>
    </w:p>
    <w:p>
      <w:pPr>
        <w:spacing w:after="0" w:line="42" w:lineRule="exact"/>
        <w:rPr>
          <w:rFonts w:ascii="Times New Roman" w:cs="Times New Roman" w:eastAsia="Times New Roman" w:hAnsi="Times New Roman"/>
          <w:sz w:val="17"/>
          <w:szCs w:val="17"/>
          <w:color w:val="auto"/>
        </w:rPr>
      </w:pPr>
    </w:p>
    <w:p>
      <w:pPr>
        <w:ind w:left="940" w:hanging="311"/>
        <w:spacing w:after="0" w:line="294" w:lineRule="auto"/>
        <w:tabs>
          <w:tab w:leader="none" w:pos="9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$900 thousand in R&amp;D support fees, inclusive of $310 thousand of lab supplies primarily related to KB707, $270 thousand of subscription costs primarily related to KB803, and $270 thousand of regulatory fees primarily related to B-VEC.</w:t>
      </w:r>
    </w:p>
    <w:p>
      <w:pPr>
        <w:spacing w:after="0" w:line="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increases were partially offset by:</w:t>
      </w:r>
    </w:p>
    <w:p>
      <w:pPr>
        <w:spacing w:after="0" w:line="117" w:lineRule="exact"/>
        <w:rPr>
          <w:sz w:val="20"/>
          <w:szCs w:val="20"/>
          <w:color w:val="auto"/>
        </w:rPr>
      </w:pPr>
    </w:p>
    <w:p>
      <w:pPr>
        <w:ind w:left="940" w:hanging="311"/>
        <w:spacing w:after="0" w:line="294" w:lineRule="auto"/>
        <w:tabs>
          <w:tab w:leader="none" w:pos="9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net decrease of $1.4 million in manufacturing costs mainly driven by the timing of production runs across our product candidates and programs primarily due to a decrease in B-VEC, KB304, KB407, KB707 and other dermatology programs partially offset by an increase in KB111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119"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Selling, general and administrative expenses increased $23.0 million in the nine months ended September 30, 2025 as compared to the nine months ended September 30, 2024. The increase was primarily driven by the following:</w:t>
      </w:r>
    </w:p>
    <w:p>
      <w:pPr>
        <w:spacing w:after="0" w:line="42" w:lineRule="exact"/>
        <w:rPr>
          <w:sz w:val="20"/>
          <w:szCs w:val="20"/>
          <w:color w:val="auto"/>
        </w:rPr>
      </w:pPr>
    </w:p>
    <w:p>
      <w:pPr>
        <w:ind w:left="940" w:hanging="311"/>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$8.0 million related to professional services, including legal and consulting services;</w:t>
      </w:r>
    </w:p>
    <w:p>
      <w:pPr>
        <w:spacing w:after="0" w:line="11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$7.2 million in payroll-related expenses, including stock-based compensation;</w:t>
      </w:r>
    </w:p>
    <w:p>
      <w:pPr>
        <w:spacing w:after="0" w:line="117" w:lineRule="exact"/>
        <w:rPr>
          <w:rFonts w:ascii="Times New Roman" w:cs="Times New Roman" w:eastAsia="Times New Roman" w:hAnsi="Times New Roman"/>
          <w:sz w:val="17"/>
          <w:szCs w:val="17"/>
          <w:color w:val="auto"/>
        </w:rPr>
      </w:pPr>
    </w:p>
    <w:p>
      <w:pPr>
        <w:ind w:left="940" w:hanging="311"/>
        <w:spacing w:after="0" w:line="294" w:lineRule="auto"/>
        <w:tabs>
          <w:tab w:leader="none" w:pos="9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$4.3 million in other general and administrative costs, including $1.3 million in charitable contributions, $725 thousand in facilities expenses, $718 thousand in subscription expenses, $521 thousand in other taxes, and $406 thousand in insurance expenses; and</w:t>
      </w:r>
    </w:p>
    <w:p>
      <w:pPr>
        <w:spacing w:after="0" w:line="200" w:lineRule="exact"/>
        <w:rPr>
          <w:sz w:val="20"/>
          <w:szCs w:val="20"/>
          <w:color w:val="auto"/>
        </w:rPr>
      </w:pPr>
    </w:p>
    <w:p>
      <w:pPr>
        <w:spacing w:after="0" w:line="27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7" w:name="page28"/>
    <w:bookmarkEnd w:id="27"/>
    <w:p>
      <w:pPr>
        <w:ind w:left="620" w:right="4060" w:firstLine="9"/>
        <w:spacing w:after="0" w:line="383" w:lineRule="auto"/>
        <w:tabs>
          <w:tab w:leader="none" w:pos="92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$3.6 million in marketing costs to support commercial sales of VYJUVEK. The increases were partially offset by:</w:t>
      </w:r>
    </w:p>
    <w:p>
      <w:pPr>
        <w:spacing w:after="0" w:line="1"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$523 thousand primarily related to lower costs associated with our patient access program.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Litigation Settlement</w:t>
      </w:r>
    </w:p>
    <w:p>
      <w:pPr>
        <w:spacing w:after="0" w:line="119"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Litigation settlement for the nine months ended September 30, 2025 and 2024 was zero and $37.5 million, respectively, and consisted of amounts related to the settlement of litigation with PeriphaGen. See discussion in Note 7 of the notes to consolidated financial statements included in the 2024 10-K and in this Quarterly Report on Form 10-Q for more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and Other Income, Net</w:t>
      </w:r>
    </w:p>
    <w:p>
      <w:pPr>
        <w:spacing w:after="0" w:line="119"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Interest and other income, net for the nine months ended September 30, 2025 and 2024 was $21.3 million and $22.4 million, respectively, and consisted of interest and dividend income earned from our cash, cash equivalents and investments as well as the effects of foreign exchange rates.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119"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Income tax benefit for the nine months ended September 30, 2025 was $15.1 million and income tax expense was $3.1 million for the nine months ended September 30, 2024, which relates to state, federal and foreign income taxes. In the third quarter of 2025, we determined that it was more likely than not that the benefit from certain of our deferred tax assets will be realized. Accordingly, the related valuation allowance was released and a one-time benefit was recognized. See discussion in Note 10 of the notes to consolidated financial statements included in this Quarterly Report on Form 10-Q for more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121"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As of September 30, 2025, our cash, cash equivalents and short-term investments balance was approximately $731.1 million. As of September 30, 2025, we had an accumulated deficit of $27.2 million. We believe that our cash, cash equivalents and short-term investments as of September 30, 2025 will be sufficient to allow us to fund our operations for at least 12 months from the filing date of this Quarterly Report on Form 10-Q.</w:t>
      </w:r>
    </w:p>
    <w:p>
      <w:pPr>
        <w:spacing w:after="0" w:line="60" w:lineRule="exact"/>
        <w:rPr>
          <w:sz w:val="20"/>
          <w:szCs w:val="20"/>
          <w:color w:val="auto"/>
        </w:rPr>
      </w:pPr>
    </w:p>
    <w:p>
      <w:pPr>
        <w:jc w:val="both"/>
        <w:ind w:firstLine="625"/>
        <w:spacing w:after="0" w:line="267" w:lineRule="auto"/>
        <w:rPr>
          <w:sz w:val="20"/>
          <w:szCs w:val="20"/>
          <w:color w:val="auto"/>
        </w:rPr>
      </w:pPr>
      <w:r>
        <w:rPr>
          <w:rFonts w:ascii="Times New Roman" w:cs="Times New Roman" w:eastAsia="Times New Roman" w:hAnsi="Times New Roman"/>
          <w:sz w:val="17"/>
          <w:szCs w:val="17"/>
          <w:color w:val="auto"/>
        </w:rPr>
        <w:t>Our operating profitability is dependent upon the continued successful commercialization of VYJUVEK, our U.S. Food and Drug Administration (“FDA”), European Commission (“EC”), and Japan’s Ministry of Health, Labour, and Welfare (“MHLW”) approved product, as well as successful development, approval and commercialization of our product candidates. Management intends to fund future operations through its on hand cash and cash equivalents and revenue generated from the sale of VYJUVEK, and may also seek additional capital through arrangements with strategic partners, the sale of equity, debt financings or other sources.</w:t>
      </w:r>
    </w:p>
    <w:p>
      <w:pPr>
        <w:spacing w:after="0" w:line="276" w:lineRule="exact"/>
        <w:rPr>
          <w:sz w:val="20"/>
          <w:szCs w:val="20"/>
          <w:color w:val="auto"/>
        </w:rPr>
      </w:pPr>
    </w:p>
    <w:p>
      <w:pPr>
        <w:jc w:val="both"/>
        <w:ind w:firstLine="625"/>
        <w:spacing w:after="0" w:line="260" w:lineRule="auto"/>
        <w:rPr>
          <w:sz w:val="20"/>
          <w:szCs w:val="20"/>
          <w:color w:val="auto"/>
        </w:rPr>
      </w:pPr>
      <w:r>
        <w:rPr>
          <w:rFonts w:ascii="Times New Roman" w:cs="Times New Roman" w:eastAsia="Times New Roman" w:hAnsi="Times New Roman"/>
          <w:sz w:val="17"/>
          <w:szCs w:val="17"/>
          <w:color w:val="auto"/>
        </w:rPr>
        <w:t>We expect our future revenue to fluctuate from quarter to quarter for many reasons, including the uncertain timing and amount of any product sales. While we are in the process of building out our internal vector manufacturing capacity, some of our manufacturing activities will be contracted out to third parties. Additionally, we currently utilize third-party contract research organizations to carry out some of our clinical development activities. As we seek to obtain regulatory approval for our product candidates, we expect to continue to incur significant manufacturing and commercialization expenses as we prepare for product sales, marketing, commercial manufacturing, packaging, labeling and distribution. Our funds may not be sufficient to enable us to conduct pivotal clinical trials for, seek marketing approval for or commercially launch our product candidates. Accordingly, to obtain marketing approval for and to commercialize these or any other product candidates, we may be required to obtain further funding through public or private equity offerings, debt financings, collaboration and licensing arrangements or other sources. Adequate additional financing may not be available to us on acceptable terms, if at all. Our failure to raise capital when needed could have a negative effect on our financial condition and our ability to pursue our business strategy.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Capital Requirements</w:t>
      </w:r>
    </w:p>
    <w:p>
      <w:pPr>
        <w:spacing w:after="0" w:line="121" w:lineRule="exact"/>
        <w:rPr>
          <w:sz w:val="20"/>
          <w:szCs w:val="20"/>
          <w:color w:val="auto"/>
        </w:rPr>
      </w:pPr>
    </w:p>
    <w:p>
      <w:pPr>
        <w:jc w:val="both"/>
        <w:ind w:firstLine="625"/>
        <w:spacing w:after="0" w:line="265" w:lineRule="auto"/>
        <w:rPr>
          <w:sz w:val="20"/>
          <w:szCs w:val="20"/>
          <w:color w:val="auto"/>
        </w:rPr>
      </w:pPr>
      <w:r>
        <w:rPr>
          <w:rFonts w:ascii="Times New Roman" w:cs="Times New Roman" w:eastAsia="Times New Roman" w:hAnsi="Times New Roman"/>
          <w:sz w:val="17"/>
          <w:szCs w:val="17"/>
          <w:color w:val="auto"/>
        </w:rPr>
        <w:t>Our primary uses of capital are, and we expect will continue to be for the near future, compensation and related expenses, manufacturing costs for preclinical and clinical materials, regulatory expenses, third-party clinical trial research and development services, laboratory and related supplies, selling expenses, costs to manufacture our commercial product, legal expenses and general overhead costs. In order to complete the process of obtaining regulatory approval for any of our product candidates and to build the sales, manufacturing, marketing and distribution infrastructure that we believe will be necessary to commercialize our product candidates, if approved, we may require substantial additional funding.</w:t>
      </w:r>
    </w:p>
    <w:p>
      <w:pPr>
        <w:spacing w:after="0" w:line="67"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manufacturing and commercialization of genetic medicines, we are unable to estimate</w:t>
      </w:r>
    </w:p>
    <w:p>
      <w:pPr>
        <w:spacing w:after="0" w:line="200" w:lineRule="exact"/>
        <w:rPr>
          <w:sz w:val="20"/>
          <w:szCs w:val="20"/>
          <w:color w:val="auto"/>
        </w:rPr>
      </w:pPr>
    </w:p>
    <w:p>
      <w:pPr>
        <w:spacing w:after="0" w:line="29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t>the exact amount of our operating capital requirements. Our future funding requirements will depend on many factors, including, but not limited to:</w:t>
      </w:r>
    </w:p>
    <w:p>
      <w:pPr>
        <w:spacing w:after="0" w:line="117" w:lineRule="exact"/>
        <w:rPr>
          <w:sz w:val="20"/>
          <w:szCs w:val="20"/>
          <w:color w:val="auto"/>
        </w:rPr>
      </w:pPr>
    </w:p>
    <w:p>
      <w:pPr>
        <w:ind w:left="940" w:hanging="311"/>
        <w:spacing w:after="0"/>
        <w:tabs>
          <w:tab w:leader="none" w:pos="94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7"/>
          <w:szCs w:val="17"/>
          <w:color w:val="auto"/>
        </w:rPr>
        <w:t>the costs needed to globally commercialize and market our lead product, VYJUVEK;</w:t>
      </w:r>
    </w:p>
    <w:p>
      <w:pPr>
        <w:spacing w:after="0" w:line="116" w:lineRule="exact"/>
        <w:rPr>
          <w:rFonts w:ascii="Arial" w:cs="Arial" w:eastAsia="Arial" w:hAnsi="Arial"/>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timing and costs of clinical trials of our current product candidates;</w:t>
      </w:r>
    </w:p>
    <w:p>
      <w:pPr>
        <w:spacing w:after="0" w:line="11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timing and costs of manufacturing VYJUVEK and revenue received from commercial sale of VYJUVEK;</w:t>
      </w:r>
    </w:p>
    <w:p>
      <w:pPr>
        <w:spacing w:after="0" w:line="11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development and the filing of investigational new drug applications for current and future product candidates;</w:t>
      </w:r>
    </w:p>
    <w:p>
      <w:pPr>
        <w:spacing w:after="0" w:line="117" w:lineRule="exact"/>
        <w:rPr>
          <w:rFonts w:ascii="Times New Roman" w:cs="Times New Roman" w:eastAsia="Times New Roman" w:hAnsi="Times New Roman"/>
          <w:sz w:val="17"/>
          <w:szCs w:val="17"/>
          <w:color w:val="auto"/>
        </w:rPr>
      </w:pPr>
    </w:p>
    <w:p>
      <w:pPr>
        <w:ind w:left="940" w:hanging="311"/>
        <w:spacing w:after="0" w:line="294" w:lineRule="auto"/>
        <w:tabs>
          <w:tab w:leader="none" w:pos="9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scope, progress, timing, costs and results of drug discovery, laboratory testing, manufacturing, preclinical studies and clinical trials for any product candidates that we may pursue in the future, if any;</w:t>
      </w:r>
    </w:p>
    <w:p>
      <w:pPr>
        <w:spacing w:after="0" w:line="4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maintaining our own commercial-scale CGMP manufacturing facilities;</w:t>
      </w:r>
    </w:p>
    <w:p>
      <w:pPr>
        <w:spacing w:after="0" w:line="11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timing and costs of seeking regulatory approvals;</w:t>
      </w:r>
    </w:p>
    <w:p>
      <w:pPr>
        <w:spacing w:after="0" w:line="11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the manufacturing process development and evaluation of third-party manufacturers;</w:t>
      </w:r>
    </w:p>
    <w:p>
      <w:pPr>
        <w:spacing w:after="0" w:line="117" w:lineRule="exact"/>
        <w:rPr>
          <w:rFonts w:ascii="Times New Roman" w:cs="Times New Roman" w:eastAsia="Times New Roman" w:hAnsi="Times New Roman"/>
          <w:sz w:val="17"/>
          <w:szCs w:val="17"/>
          <w:color w:val="auto"/>
        </w:rPr>
      </w:pPr>
    </w:p>
    <w:p>
      <w:pPr>
        <w:jc w:val="both"/>
        <w:ind w:left="940" w:hanging="311"/>
        <w:spacing w:after="0" w:line="274" w:lineRule="auto"/>
        <w:tabs>
          <w:tab w:leader="none" w:pos="9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costs of VYJUVEK and our product candidates, if approved, will be paid by health maintenance, managed care, pharmacy benefit and similar healthcare management organizations, or will be reimbursed by government authorities, private health coverage insurers and other third-party payors;</w:t>
      </w:r>
    </w:p>
    <w:p>
      <w:pPr>
        <w:spacing w:after="0" w:line="59" w:lineRule="exact"/>
        <w:rPr>
          <w:rFonts w:ascii="Times New Roman" w:cs="Times New Roman" w:eastAsia="Times New Roman" w:hAnsi="Times New Roman"/>
          <w:sz w:val="17"/>
          <w:szCs w:val="17"/>
          <w:color w:val="auto"/>
        </w:rPr>
      </w:pPr>
    </w:p>
    <w:p>
      <w:pPr>
        <w:ind w:left="940" w:hanging="311"/>
        <w:spacing w:after="0" w:line="294" w:lineRule="auto"/>
        <w:tabs>
          <w:tab w:leader="none" w:pos="9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commercialization activities for our current and future product candidates if we receive marketing approval for such product candidates, including the costs and timing of establishing product sales, medical affairs, marketing, distribution and manufacturing capabilities;</w:t>
      </w:r>
    </w:p>
    <w:p>
      <w:pPr>
        <w:spacing w:after="0" w:line="4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revenue received from commercial sale of our current and future product candidates, subject to receipt of marketing approval;</w:t>
      </w:r>
    </w:p>
    <w:p>
      <w:pPr>
        <w:spacing w:after="0" w:line="11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timing of any future collaborations, licensing, consulting or other arrangements that we may establish;</w:t>
      </w:r>
    </w:p>
    <w:p>
      <w:pPr>
        <w:spacing w:after="0" w:line="117" w:lineRule="exact"/>
        <w:rPr>
          <w:rFonts w:ascii="Times New Roman" w:cs="Times New Roman" w:eastAsia="Times New Roman" w:hAnsi="Times New Roman"/>
          <w:sz w:val="17"/>
          <w:szCs w:val="17"/>
          <w:color w:val="auto"/>
        </w:rPr>
      </w:pPr>
    </w:p>
    <w:p>
      <w:pPr>
        <w:jc w:val="both"/>
        <w:ind w:left="940" w:hanging="311"/>
        <w:spacing w:after="0" w:line="274" w:lineRule="auto"/>
        <w:tabs>
          <w:tab w:leader="none" w:pos="9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any payments we may be required to make, or that we may receive, in connection with the licensing, filing, prosecution, maintenance, defense and enforcement of any patents or other intellectual property rights, including milestone and royalty payments and patent prosecution fees that we are obligated to pay pursuant to our license agreements;</w:t>
      </w:r>
    </w:p>
    <w:p>
      <w:pPr>
        <w:spacing w:after="0" w:line="5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license agreements remaining in effect and our achievement of milestones under those agreements;</w:t>
      </w:r>
    </w:p>
    <w:p>
      <w:pPr>
        <w:spacing w:after="0" w:line="11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collaborations and licenses on favorable terms, if at all; and</w:t>
      </w:r>
    </w:p>
    <w:p>
      <w:pPr>
        <w:spacing w:after="0" w:line="11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we acquire or in-license other product candidates and technologies.</w:t>
      </w:r>
    </w:p>
    <w:p>
      <w:pPr>
        <w:spacing w:after="0" w:line="117" w:lineRule="exact"/>
        <w:rPr>
          <w:sz w:val="20"/>
          <w:szCs w:val="20"/>
          <w:color w:val="auto"/>
        </w:rPr>
      </w:pPr>
    </w:p>
    <w:p>
      <w:pPr>
        <w:jc w:val="both"/>
        <w:ind w:firstLine="625"/>
        <w:spacing w:after="0" w:line="260" w:lineRule="auto"/>
        <w:rPr>
          <w:sz w:val="20"/>
          <w:szCs w:val="20"/>
          <w:color w:val="auto"/>
        </w:rPr>
      </w:pPr>
      <w:r>
        <w:rPr>
          <w:rFonts w:ascii="Times New Roman" w:cs="Times New Roman" w:eastAsia="Times New Roman" w:hAnsi="Times New Roman"/>
          <w:sz w:val="17"/>
          <w:szCs w:val="17"/>
          <w:color w:val="auto"/>
        </w:rPr>
        <w:t>We may need to obtain substantial additional funding in order to receive regulatory approval and to commercialize our product candidates.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affect our ability to conduct our business.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w:t>
      </w:r>
    </w:p>
    <w:p>
      <w:pPr>
        <w:spacing w:after="0" w:line="200" w:lineRule="exact"/>
        <w:rPr>
          <w:sz w:val="20"/>
          <w:szCs w:val="20"/>
          <w:color w:val="auto"/>
        </w:rPr>
      </w:pPr>
    </w:p>
    <w:p>
      <w:pPr>
        <w:spacing w:after="0" w:line="30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1"/>
        </w:trPr>
        <w:tc>
          <w:tcPr>
            <w:tcW w:w="7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and Uses of Cash</w:t>
            </w: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3"/>
        </w:trPr>
        <w:tc>
          <w:tcPr>
            <w:tcW w:w="20" w:type="dxa"/>
            <w:vAlign w:val="bottom"/>
          </w:tcPr>
          <w:p>
            <w:pPr>
              <w:spacing w:after="0"/>
              <w:rPr>
                <w:sz w:val="24"/>
                <w:szCs w:val="24"/>
                <w:color w:val="auto"/>
              </w:rPr>
            </w:pPr>
          </w:p>
        </w:tc>
        <w:tc>
          <w:tcPr>
            <w:tcW w:w="9460" w:type="dxa"/>
            <w:vAlign w:val="bottom"/>
            <w:gridSpan w:val="4"/>
          </w:tcPr>
          <w:p>
            <w:pPr>
              <w:ind w:left="600"/>
              <w:spacing w:after="0"/>
              <w:rPr>
                <w:sz w:val="20"/>
                <w:szCs w:val="20"/>
                <w:color w:val="auto"/>
              </w:rPr>
            </w:pPr>
            <w:r>
              <w:rPr>
                <w:rFonts w:ascii="Times New Roman" w:cs="Times New Roman" w:eastAsia="Times New Roman" w:hAnsi="Times New Roman"/>
                <w:sz w:val="17"/>
                <w:szCs w:val="17"/>
                <w:color w:val="auto"/>
              </w:rPr>
              <w:t>The following table summarizes our sources and uses of cash for the nine months ended September 30, 2025 and 2024:</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2"/>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620" w:type="dxa"/>
            <w:vAlign w:val="bottom"/>
            <w:tcBorders>
              <w:bottom w:val="single" w:sz="8" w:color="auto"/>
            </w:tcBorders>
            <w:gridSpan w:val="5"/>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4"/>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4"/>
        </w:trPr>
        <w:tc>
          <w:tcPr>
            <w:tcW w:w="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100" w:type="dxa"/>
            <w:vAlign w:val="bottom"/>
          </w:tcPr>
          <w:p>
            <w:pPr>
              <w:spacing w:after="0"/>
              <w:rPr>
                <w:sz w:val="18"/>
                <w:szCs w:val="18"/>
                <w:color w:val="auto"/>
              </w:rPr>
            </w:pPr>
          </w:p>
        </w:tc>
        <w:tc>
          <w:tcPr>
            <w:tcW w:w="130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2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70,577</w:t>
            </w:r>
          </w:p>
        </w:tc>
      </w:tr>
      <w:tr>
        <w:trPr>
          <w:trHeight w:val="221"/>
        </w:trPr>
        <w:tc>
          <w:tcPr>
            <w:tcW w:w="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(69,580)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(79,661)</w:t>
            </w:r>
          </w:p>
        </w:tc>
      </w:tr>
      <w:tr>
        <w:trPr>
          <w:trHeight w:val="221"/>
        </w:trPr>
        <w:tc>
          <w:tcPr>
            <w:tcW w:w="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24,586</w:t>
            </w:r>
          </w:p>
        </w:tc>
      </w:tr>
      <w:tr>
        <w:trPr>
          <w:trHeight w:val="221"/>
        </w:trPr>
        <w:tc>
          <w:tcPr>
            <w:tcW w:w="20" w:type="dxa"/>
            <w:vAlign w:val="bottom"/>
          </w:tcPr>
          <w:p>
            <w:pPr>
              <w:spacing w:after="0"/>
              <w:rPr>
                <w:sz w:val="19"/>
                <w:szCs w:val="19"/>
                <w:color w:val="auto"/>
              </w:rPr>
            </w:pPr>
          </w:p>
        </w:tc>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39"/>
        </w:trPr>
        <w:tc>
          <w:tcPr>
            <w:tcW w:w="20" w:type="dxa"/>
            <w:vAlign w:val="bottom"/>
          </w:tcPr>
          <w:p>
            <w:pPr>
              <w:spacing w:after="0"/>
              <w:rPr>
                <w:sz w:val="20"/>
                <w:szCs w:val="20"/>
                <w:color w:val="auto"/>
              </w:rPr>
            </w:pPr>
          </w:p>
        </w:tc>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47,739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15,638</w:t>
            </w: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19" w:lineRule="exact"/>
        <w:rPr>
          <w:sz w:val="20"/>
          <w:szCs w:val="20"/>
          <w:color w:val="auto"/>
        </w:rPr>
      </w:pPr>
    </w:p>
    <w:p>
      <w:pPr>
        <w:jc w:val="both"/>
        <w:ind w:firstLine="625"/>
        <w:spacing w:after="0" w:line="265" w:lineRule="auto"/>
        <w:rPr>
          <w:sz w:val="20"/>
          <w:szCs w:val="20"/>
          <w:color w:val="auto"/>
        </w:rPr>
      </w:pPr>
      <w:r>
        <w:rPr>
          <w:rFonts w:ascii="Times New Roman" w:cs="Times New Roman" w:eastAsia="Times New Roman" w:hAnsi="Times New Roman"/>
          <w:sz w:val="17"/>
          <w:szCs w:val="17"/>
          <w:color w:val="auto"/>
        </w:rPr>
        <w:t>Net cash provided by operating activities for the nine months ended September 30, 2025 was $123.4 million and consisted primarily of net income of $153.4 million adjusted for $15.8 million of non-cash items and a $45.9 million decrease in cash from increased working capital. Non-cash adjustments included depreciation of $4.2 million, amortization of operating lease right-of-use assets of $627 thousand, stock-based compensation expense of $40.8 million, amortization on marketable securities of $139 thousand, and other adjustments of $395 thousand, offset by a change in our deferred income taxes of $24.7 million and realized gain on investments of $5.5 million.</w:t>
      </w:r>
    </w:p>
    <w:p>
      <w:pPr>
        <w:spacing w:after="0" w:line="67"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Net cash provided by operating activities for the nine months ended September 30, 2024 was $70.6 million and consisted primarily of net income of $43.7 million adjusted for $35.7 million of non-cash items and a $8.8 million decrease in cash from increased working capital. Non-cash adjustments included depreciation of $4.6 million, amortization of operating lease right-of-use assets of $556 thousand, stock-based compensation expense of $35.8 million and other adjustments of $725 thousand, offset by realized gain on investments of $4.4 million and accretion on marketable securities of $1.5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19"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Net cash used in investing activities for the nine months ended September 30, 2025 was $69.6 million and consisted of $350.1 million in purchases of short-term and long-term investments and $9.8 million in purchases of property and equipment, offset by $289.9 million received from the maturities and early calls of short and long-term investments and $435 thousand received in proceeds from disposal of assets.</w:t>
      </w:r>
    </w:p>
    <w:p>
      <w:pPr>
        <w:spacing w:after="0" w:line="60"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Net cash used in investing activities for the nine months ended September 30, 2024 was $79.7 million and consisted of $314.3 million in purchases of short-term and long-term investments and $3.4 million in purchases of property and equipment, offset by $238.0 million received from the maturities of short-term investments.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19"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Net cash used in financing activities for the nine months ended September 30, 2025 was $7.0 million and consisted of $12.1 million used for employee tax withholding payments related to vested restricted stock units and $1.8 million used for employee tax withholding payments for settlement of vested restricted stock awards partially offset by $7.0 million from exercises of stock options.</w:t>
      </w:r>
    </w:p>
    <w:p>
      <w:pPr>
        <w:spacing w:after="0" w:line="60"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Net cash provided by financing activities for the nine months ended September 30, 2024 was $24.6 million and consisted of proceeds of $30.0 million from exercises of stock options, partially offset by $4.2 million used for employee tax withholding payments related to vested restricted stock units and $1.2 million used for employee tax withholding payments for settlement of vested restricted stock awards.</w:t>
      </w:r>
    </w:p>
    <w:p>
      <w:pPr>
        <w:spacing w:after="0" w:line="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9" w:lineRule="exact"/>
        <w:rPr>
          <w:sz w:val="20"/>
          <w:szCs w:val="20"/>
          <w:color w:val="auto"/>
        </w:rPr>
      </w:pPr>
    </w:p>
    <w:p>
      <w:pPr>
        <w:jc w:val="both"/>
        <w:ind w:firstLine="625"/>
        <w:spacing w:after="0" w:line="261" w:lineRule="auto"/>
        <w:rPr>
          <w:sz w:val="20"/>
          <w:szCs w:val="20"/>
          <w:color w:val="auto"/>
        </w:rPr>
      </w:pPr>
      <w:r>
        <w:rPr>
          <w:rFonts w:ascii="Times New Roman" w:cs="Times New Roman" w:eastAsia="Times New Roman" w:hAnsi="Times New Roman"/>
          <w:sz w:val="17"/>
          <w:szCs w:val="17"/>
          <w:color w:val="auto"/>
        </w:rPr>
        <w:t>We had cash, cash equivalents and short-term investments of $731.1 million as of September 30, 2025, which consisted primarily of money market funds, commercial paper, corporate bonds and U.S. government agency securities. The investments in these financial instruments are made in accordance with an investment policy which specifies the categories, allocations and ratings of securities we may consider for investment. The primary objective of our investment activities is to preserve principal while at the same time maximizing the income we receive without significantly increasing risk. Some of the financial instruments in which we invest could be subject to market risk. This means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cash, cash equivalents and short-term investment securities available-for-sale in a variety of securities which may include money market funds, government and non-government debt securities and commercial</w:t>
      </w:r>
    </w:p>
    <w:p>
      <w:pPr>
        <w:spacing w:after="0" w:line="200" w:lineRule="exact"/>
        <w:rPr>
          <w:sz w:val="20"/>
          <w:szCs w:val="20"/>
          <w:color w:val="auto"/>
        </w:rPr>
      </w:pPr>
    </w:p>
    <w:p>
      <w:pPr>
        <w:spacing w:after="0" w:line="30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30" w:name="page31"/>
    <w:bookmarkEnd w:id="30"/>
    <w:p>
      <w:pPr>
        <w:jc w:val="both"/>
        <w:spacing w:after="0" w:line="294" w:lineRule="auto"/>
        <w:rPr>
          <w:sz w:val="20"/>
          <w:szCs w:val="20"/>
          <w:color w:val="auto"/>
        </w:rPr>
      </w:pPr>
      <w:r>
        <w:rPr>
          <w:rFonts w:ascii="Times New Roman" w:cs="Times New Roman" w:eastAsia="Times New Roman" w:hAnsi="Times New Roman"/>
          <w:sz w:val="17"/>
          <w:szCs w:val="17"/>
          <w:color w:val="auto"/>
        </w:rPr>
        <w:t>paper, all with various maturity dates. Based on our current investment portfolio, we do not believe that our results of operations or our financial position would be materially affected by an immediate change of 10% in interest rates.</w:t>
      </w:r>
    </w:p>
    <w:p>
      <w:pPr>
        <w:spacing w:after="0" w:line="42" w:lineRule="exact"/>
        <w:rPr>
          <w:sz w:val="20"/>
          <w:szCs w:val="20"/>
          <w:color w:val="auto"/>
        </w:rPr>
      </w:pPr>
    </w:p>
    <w:p>
      <w:pPr>
        <w:jc w:val="both"/>
        <w:ind w:firstLine="625"/>
        <w:spacing w:after="0" w:line="272" w:lineRule="auto"/>
        <w:rPr>
          <w:sz w:val="20"/>
          <w:szCs w:val="20"/>
          <w:color w:val="auto"/>
        </w:rPr>
      </w:pPr>
      <w:r>
        <w:rPr>
          <w:rFonts w:ascii="Times New Roman" w:cs="Times New Roman" w:eastAsia="Times New Roman" w:hAnsi="Times New Roman"/>
          <w:sz w:val="17"/>
          <w:szCs w:val="17"/>
          <w:color w:val="auto"/>
        </w:rPr>
        <w:t>We also have established operations in Europe and Japan and hold cash in Swiss Francs, Euros and Japanese Yen. We are subject to foreign exchange rate risk arising from transactions conducted in the aforementioned foreign currencies, however, our foreign operations are not currently material to our business. We do not believe that our results of operations or our financial position would be materially affected by an immediate change of 10% in foreign currency exchange rates.</w:t>
      </w:r>
    </w:p>
    <w:p>
      <w:pPr>
        <w:spacing w:after="0" w:line="273"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We do not hold or issue derivatives, derivative commodity instruments or other financial instruments for speculative trading purposes. Further, we do not believe our cash, cash equivalents and short-term investments have significant risk of default or illiquidity. While we believe our cash, cash equivalents and short-term investments do not contain excessive risk, we cannot provide absolute assurance that any investments we make in the future will not be subject to adverse changes in market value. Our cash, cash equivalents and short-term investments are recorded at fair value.</w:t>
      </w:r>
    </w:p>
    <w:p>
      <w:pPr>
        <w:spacing w:after="0" w:line="6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9" w:lineRule="exact"/>
        <w:rPr>
          <w:sz w:val="20"/>
          <w:szCs w:val="20"/>
          <w:color w:val="auto"/>
        </w:rPr>
      </w:pPr>
    </w:p>
    <w:p>
      <w:pPr>
        <w:jc w:val="both"/>
        <w:ind w:firstLine="625"/>
        <w:spacing w:after="0" w:line="265" w:lineRule="auto"/>
        <w:rPr>
          <w:sz w:val="20"/>
          <w:szCs w:val="20"/>
          <w:color w:val="auto"/>
        </w:rPr>
      </w:pPr>
      <w:r>
        <w:rPr>
          <w:rFonts w:ascii="Times New Roman" w:cs="Times New Roman" w:eastAsia="Times New Roman" w:hAnsi="Times New Roman"/>
          <w:sz w:val="17"/>
          <w:szCs w:val="17"/>
          <w:color w:val="auto"/>
        </w:rPr>
        <w:t>Our Chief Executive Officer and our Chief Accounting Officer, with the participation of other members of the Company’s management, have evaluated the effectiveness of the Company’s “disclosure controls and procedures” (as such term is defined in Rules 13a-15(e) and 15d-15(e) under the Securities Exchange Act of 1934, as amended (the “Exchange Act”)) as of the end of the period covered by this quarterly report, and our Chief Executive Officer and our Chief Accounting Officer have concluded that our disclosure controls and procedures are effective based on their evaluation of these controls and procedures as required by paragraph (b) of Exchange Act Rules 13a-15 or 15d-15.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9"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In June 2025, we implemented a new procure to pay (“P2P”) system that integrates with our existing enterprise resource planning system. As necessary, we are adding to or modifying the design and documentation of internal control processes and procedures relating to the new P2P system to simplify and strengthen our internal control over financial reporting.</w:t>
      </w:r>
    </w:p>
    <w:p>
      <w:pPr>
        <w:spacing w:after="0" w:line="60" w:lineRule="exact"/>
        <w:rPr>
          <w:sz w:val="20"/>
          <w:szCs w:val="20"/>
          <w:color w:val="auto"/>
        </w:rPr>
      </w:pPr>
    </w:p>
    <w:p>
      <w:pPr>
        <w:jc w:val="both"/>
        <w:ind w:firstLine="625"/>
        <w:spacing w:after="0" w:line="294" w:lineRule="auto"/>
        <w:rPr>
          <w:sz w:val="20"/>
          <w:szCs w:val="20"/>
          <w:color w:val="auto"/>
        </w:rPr>
      </w:pPr>
      <w:r>
        <w:rPr>
          <w:rFonts w:ascii="Times New Roman" w:cs="Times New Roman" w:eastAsia="Times New Roman" w:hAnsi="Times New Roman"/>
          <w:sz w:val="17"/>
          <w:szCs w:val="17"/>
          <w:color w:val="auto"/>
        </w:rPr>
        <w:t>Other than as discussed above, no change in our internal control over financial reporting occurred during the quarter ended September 30, 2025 that has materially affected, or is reasonably likely to materially affect, our internal control over financial reporting.</w:t>
      </w:r>
    </w:p>
    <w:p>
      <w:pPr>
        <w:spacing w:after="0" w:line="200" w:lineRule="exact"/>
        <w:rPr>
          <w:sz w:val="20"/>
          <w:szCs w:val="20"/>
          <w:color w:val="auto"/>
        </w:rPr>
      </w:pPr>
    </w:p>
    <w:p>
      <w:pPr>
        <w:spacing w:after="0" w:line="27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2" w:lineRule="exact"/>
        <w:rPr>
          <w:sz w:val="20"/>
          <w:szCs w:val="20"/>
          <w:color w:val="auto"/>
        </w:rPr>
      </w:pPr>
    </w:p>
    <w:p>
      <w:pPr>
        <w:ind w:right="200" w:firstLine="625"/>
        <w:spacing w:after="0" w:line="253" w:lineRule="auto"/>
        <w:rPr>
          <w:sz w:val="20"/>
          <w:szCs w:val="20"/>
          <w:color w:val="auto"/>
        </w:rPr>
      </w:pPr>
      <w:r>
        <w:rPr>
          <w:rFonts w:ascii="Times New Roman" w:cs="Times New Roman" w:eastAsia="Times New Roman" w:hAnsi="Times New Roman"/>
          <w:sz w:val="17"/>
          <w:szCs w:val="17"/>
          <w:color w:val="auto"/>
        </w:rPr>
        <w:t>For discussion regarding legal proceedings, please refer to Note 7 of the notes to the consolidated financial statements in the 2024 10-K and Note 7 of the notes to the consolidated financial statements in this Quarterly Report on Form 10-Q for additional information.</w:t>
      </w:r>
    </w:p>
    <w:p>
      <w:pPr>
        <w:spacing w:after="0" w:line="76" w:lineRule="exact"/>
        <w:rPr>
          <w:sz w:val="20"/>
          <w:szCs w:val="20"/>
          <w:color w:val="auto"/>
        </w:rPr>
      </w:pPr>
    </w:p>
    <w:p>
      <w:pPr>
        <w:jc w:val="both"/>
        <w:ind w:firstLine="625"/>
        <w:spacing w:after="0" w:line="262" w:lineRule="auto"/>
        <w:rPr>
          <w:sz w:val="20"/>
          <w:szCs w:val="20"/>
          <w:color w:val="auto"/>
        </w:rPr>
      </w:pPr>
      <w:r>
        <w:rPr>
          <w:rFonts w:ascii="Times New Roman" w:cs="Times New Roman" w:eastAsia="Times New Roman" w:hAnsi="Times New Roman"/>
          <w:sz w:val="17"/>
          <w:szCs w:val="17"/>
          <w:color w:val="auto"/>
        </w:rPr>
        <w:t>In the ordinary course of business, we have faced, and we may in the future face, various claims brought by third parties or government regulators and, from time to time, make claims or take legal actions to assert our rights, including claims relating to our directors, officers, stockholders, intellectual property rights, employment matters and the safety or efficacy of our products. Any of these claims have subjected and could in the future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w:t>
      </w:r>
    </w:p>
    <w:p>
      <w:pPr>
        <w:spacing w:after="0" w:line="6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19" w:lineRule="exact"/>
        <w:rPr>
          <w:sz w:val="20"/>
          <w:szCs w:val="20"/>
          <w:color w:val="auto"/>
        </w:rPr>
      </w:pPr>
    </w:p>
    <w:p>
      <w:pPr>
        <w:jc w:val="both"/>
        <w:ind w:firstLine="547"/>
        <w:spacing w:after="0" w:line="294" w:lineRule="auto"/>
        <w:rPr>
          <w:sz w:val="20"/>
          <w:szCs w:val="20"/>
          <w:color w:val="auto"/>
        </w:rPr>
      </w:pPr>
      <w:r>
        <w:rPr>
          <w:rFonts w:ascii="Times New Roman" w:cs="Times New Roman" w:eastAsia="Times New Roman" w:hAnsi="Times New Roman"/>
          <w:sz w:val="17"/>
          <w:szCs w:val="17"/>
          <w:color w:val="auto"/>
        </w:rPr>
        <w:t>There have been no material changes to the risk factors previously disclosed in Part I, Item 1A of our Annual Report on Form 10-K for the fiscal year ended December 31, 2024, and in Part II, Item 1A of our Quarterly Reports on Form 10-Q filed during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2" w:name="page33"/>
    <w:bookmarkEnd w:id="32"/>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Arrangements</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September 4, 2025, Krish Krishnan, our Chief Executive Officer and Chairman of our Board of Directors, adopted a Rule 10b5-1 trading arrangement (the “Trading Plan”) that is intended to satisfy the affirmative defense conditions of Rule 10b5-1(c) under the Exchange Act for the sale of up to 100,000 shares of our Common Stock, subject to certain conditions. The end date of the Trading Plan is December 4, 2026, subject to early termination in accordance with the terms of the Trading Plan, including upon completion of the sale of all of the shares of our Common Stock subject to the Trading Plan.</w:t>
      </w:r>
    </w:p>
    <w:p>
      <w:pPr>
        <w:spacing w:after="0" w:line="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September 4, 2025, Suma Krishnan, our President and a member of our Board of Directors, adopted a Rule 10b5-1 trading arrangement (the “Trading Arrangement”) that is intended to satisfy the affirmative defense conditions of Rule 10b5-1(c) under the Exchange Act for the sale of up to 100,000 shares of our Common Stock, subject to certain conditions. The end date of the Trading Arrangement is December 4, 2026, subject to early termination in accordance with the terms of the Trading Arrangement, including upon completion of the sale of all of the shares of our Common Stock subject to the Trading Arrangement.</w:t>
      </w:r>
    </w:p>
    <w:p>
      <w:pPr>
        <w:spacing w:after="0" w:line="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During the three months ended September 30, 2025, no other director or officer (as that term is defined by the SEC in Rule 16a-1(f) under the Exchange Act) adopted or terminated a “Rule 10b5-1 trading arrangement” or a “non-Rule 10b5-1 trading arrangement,” as each term is defined in Item 408(a) of Regulation S-K.</w:t>
      </w:r>
    </w:p>
    <w:p>
      <w:pPr>
        <w:spacing w:after="0" w:line="26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9525</wp:posOffset>
            </wp:positionV>
            <wp:extent cx="7120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20890" cy="8255"/>
                    </a:xfrm>
                    <a:prstGeom prst="rect">
                      <a:avLst/>
                    </a:prstGeom>
                    <a:noFill/>
                  </pic:spPr>
                </pic:pic>
              </a:graphicData>
            </a:graphic>
          </wp:anchor>
        </w:drawing>
      </w:r>
    </w:p>
    <w:p>
      <w:pPr>
        <w:spacing w:after="0" w:line="151"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1460" w:type="dxa"/>
            <w:vAlign w:val="bottom"/>
          </w:tcPr>
          <w:p>
            <w:pPr>
              <w:jc w:val="right"/>
              <w:ind w:right="1073"/>
              <w:spacing w:after="0"/>
              <w:rPr>
                <w:sz w:val="20"/>
                <w:szCs w:val="20"/>
                <w:color w:val="auto"/>
              </w:rPr>
            </w:pPr>
            <w:r>
              <w:rPr>
                <w:rFonts w:ascii="Times New Roman" w:cs="Times New Roman" w:eastAsia="Times New Roman" w:hAnsi="Times New Roman"/>
                <w:sz w:val="17"/>
                <w:szCs w:val="17"/>
                <w:color w:val="auto"/>
                <w:w w:val="93"/>
              </w:rPr>
              <w:t>31.1</w:t>
            </w:r>
          </w:p>
        </w:tc>
        <w:tc>
          <w:tcPr>
            <w:tcW w:w="9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Certification of Periodic Report by Chief Executive Officer under Section 302 of the Sarbanes-Oxley Act of 2002.</w:t>
            </w:r>
          </w:p>
        </w:tc>
      </w:tr>
      <w:tr>
        <w:trPr>
          <w:trHeight w:val="20"/>
        </w:trPr>
        <w:tc>
          <w:tcPr>
            <w:tcW w:w="146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60" w:type="dxa"/>
            <w:vAlign w:val="bottom"/>
          </w:tcPr>
          <w:p>
            <w:pPr>
              <w:jc w:val="right"/>
              <w:ind w:right="1073"/>
              <w:spacing w:after="0"/>
              <w:rPr>
                <w:sz w:val="20"/>
                <w:szCs w:val="20"/>
                <w:color w:val="auto"/>
              </w:rPr>
            </w:pPr>
            <w:r>
              <w:rPr>
                <w:rFonts w:ascii="Times New Roman" w:cs="Times New Roman" w:eastAsia="Times New Roman" w:hAnsi="Times New Roman"/>
                <w:sz w:val="17"/>
                <w:szCs w:val="17"/>
                <w:color w:val="auto"/>
                <w:w w:val="93"/>
              </w:rPr>
              <w:t>31.2</w:t>
            </w:r>
          </w:p>
        </w:tc>
        <w:tc>
          <w:tcPr>
            <w:tcW w:w="9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Certification of Periodic Report by Chief Accounting Officer under Section 302 of the Sarbanes-Oxley Act of 2002.</w:t>
            </w:r>
          </w:p>
        </w:tc>
      </w:tr>
      <w:tr>
        <w:trPr>
          <w:trHeight w:val="20"/>
        </w:trPr>
        <w:tc>
          <w:tcPr>
            <w:tcW w:w="146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472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60" w:type="dxa"/>
            <w:vAlign w:val="bottom"/>
          </w:tcPr>
          <w:p>
            <w:pPr>
              <w:jc w:val="right"/>
              <w:ind w:right="1073"/>
              <w:spacing w:after="0"/>
              <w:rPr>
                <w:sz w:val="20"/>
                <w:szCs w:val="20"/>
                <w:color w:val="auto"/>
              </w:rPr>
            </w:pPr>
            <w:r>
              <w:rPr>
                <w:rFonts w:ascii="Times New Roman" w:cs="Times New Roman" w:eastAsia="Times New Roman" w:hAnsi="Times New Roman"/>
                <w:sz w:val="17"/>
                <w:szCs w:val="17"/>
                <w:color w:val="auto"/>
                <w:w w:val="93"/>
              </w:rPr>
              <w:t>32.1</w:t>
            </w:r>
          </w:p>
        </w:tc>
        <w:tc>
          <w:tcPr>
            <w:tcW w:w="9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and Chief Accounting Officer Pursuant to 18 U.S.C. Section 1350 as Adopted Pursuant to</w:t>
            </w:r>
          </w:p>
        </w:tc>
      </w:tr>
      <w:tr>
        <w:trPr>
          <w:trHeight w:val="149"/>
        </w:trPr>
        <w:tc>
          <w:tcPr>
            <w:tcW w:w="1460" w:type="dxa"/>
            <w:vAlign w:val="bottom"/>
          </w:tcPr>
          <w:p>
            <w:pPr>
              <w:spacing w:after="0"/>
              <w:rPr>
                <w:sz w:val="12"/>
                <w:szCs w:val="12"/>
                <w:color w:val="auto"/>
              </w:rPr>
            </w:pPr>
          </w:p>
        </w:tc>
        <w:tc>
          <w:tcPr>
            <w:tcW w:w="3340" w:type="dxa"/>
            <w:vAlign w:val="bottom"/>
            <w:tcBorders>
              <w:top w:val="single" w:sz="8" w:color="0000FF"/>
              <w:bottom w:val="single" w:sz="8" w:color="0000FF"/>
            </w:tcBorders>
          </w:tcPr>
          <w:p>
            <w:pPr>
              <w:spacing w:after="0" w:line="150"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c>
          <w:tcPr>
            <w:tcW w:w="572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r>
    </w:tbl>
    <w:p>
      <w:pPr>
        <w:spacing w:after="0" w:line="190" w:lineRule="exact"/>
        <w:rPr>
          <w:sz w:val="20"/>
          <w:szCs w:val="20"/>
          <w:color w:val="auto"/>
        </w:rPr>
      </w:pPr>
    </w:p>
    <w:p>
      <w:pPr>
        <w:ind w:left="1620" w:right="60" w:hanging="1468"/>
        <w:spacing w:after="0" w:line="247" w:lineRule="auto"/>
        <w:tabs>
          <w:tab w:leader="none" w:pos="1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Inline XBRL (Extensible Business Reporting Language). The following materials from this Quarterly Report on Form 10-Q for the period ended September 30, 2025, are formatted in Inline XBRL: (i) consolidated balance sheets of Krystal Biotech, Inc., (ii) consolidated statements of operations of Krystal Biotech, Inc., (iii) consolidated statements of operations and comprehensive income of Krystal Biotech, Inc., (iv) consolidated statements of changes in equity of Krystal Biotech, Inc., (v) consolidated statements of cash flows of Krystal Biotech, Inc. and (vi) notes to condensed consolidated financial statements of Krystal Biotech, Inc. The instance document does not appear in the interactive data file because its XBRL tags are embedded within the Inline XBRL document.</w:t>
      </w:r>
    </w:p>
    <w:p>
      <w:pPr>
        <w:spacing w:after="0" w:line="173" w:lineRule="exact"/>
        <w:rPr>
          <w:sz w:val="20"/>
          <w:szCs w:val="20"/>
          <w:color w:val="auto"/>
        </w:rPr>
      </w:pPr>
    </w:p>
    <w:p>
      <w:pPr>
        <w:ind w:left="1620" w:hanging="1468"/>
        <w:spacing w:after="0"/>
        <w:tabs>
          <w:tab w:leader="none" w:pos="1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 the cover page XBRL tags are embedded within the Inline XBRL.</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4" w:lineRule="exact"/>
        <w:rPr>
          <w:rFonts w:ascii="Times New Roman" w:cs="Times New Roman" w:eastAsia="Times New Roman" w:hAnsi="Times New Roman"/>
          <w:sz w:val="17"/>
          <w:szCs w:val="17"/>
          <w:color w:val="auto"/>
        </w:rPr>
      </w:pPr>
    </w:p>
    <w:p>
      <w:pPr>
        <w:ind w:left="5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9" w:lineRule="exact"/>
        <w:rPr>
          <w:sz w:val="20"/>
          <w:szCs w:val="20"/>
          <w:color w:val="auto"/>
        </w:rPr>
      </w:pPr>
    </w:p>
    <w:p>
      <w:pPr>
        <w:ind w:right="780" w:firstLine="547"/>
        <w:spacing w:after="0" w:line="29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KRYSTAL BIOTECH, INC.</w:t>
            </w:r>
          </w:p>
        </w:tc>
      </w:tr>
      <w:tr>
        <w:trPr>
          <w:trHeight w:val="227"/>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(Registrant)</w:t>
            </w:r>
          </w:p>
        </w:tc>
      </w:tr>
      <w:tr>
        <w:trPr>
          <w:trHeight w:val="443"/>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Date: November 3, 2025</w:t>
            </w:r>
          </w:p>
        </w:tc>
        <w:tc>
          <w:tcPr>
            <w:tcW w:w="244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7"/>
                <w:szCs w:val="17"/>
                <w:color w:val="auto"/>
              </w:rPr>
              <w:t>By:</w:t>
            </w:r>
          </w:p>
        </w:tc>
        <w:tc>
          <w:tcPr>
            <w:tcW w:w="5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/s/ Krish S. Krishnan</w:t>
            </w:r>
          </w:p>
        </w:tc>
      </w:tr>
      <w:tr>
        <w:trPr>
          <w:trHeight w:val="209"/>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Krish S. Krishnan</w:t>
            </w:r>
          </w:p>
        </w:tc>
      </w:tr>
      <w:tr>
        <w:trPr>
          <w:trHeight w:val="221"/>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7"/>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664"/>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Date: November 3, 2025</w:t>
            </w:r>
          </w:p>
        </w:tc>
        <w:tc>
          <w:tcPr>
            <w:tcW w:w="244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7"/>
                <w:szCs w:val="17"/>
                <w:color w:val="auto"/>
              </w:rPr>
              <w:t>By:</w:t>
            </w:r>
          </w:p>
        </w:tc>
        <w:tc>
          <w:tcPr>
            <w:tcW w:w="5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/s/ Kathryn A. Romano</w:t>
            </w:r>
          </w:p>
        </w:tc>
      </w:tr>
      <w:tr>
        <w:trPr>
          <w:trHeight w:val="209"/>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Kathryn A. Romano</w:t>
            </w:r>
          </w:p>
        </w:tc>
      </w:tr>
      <w:tr>
        <w:trPr>
          <w:trHeight w:val="221"/>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Chief Accounting Officer</w:t>
            </w:r>
          </w:p>
        </w:tc>
      </w:tr>
      <w:tr>
        <w:trPr>
          <w:trHeight w:val="227"/>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40"/>
          </w:cols>
          <w:pgMar w:left="320" w:top="1226"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Krish S. Krishnan, certify that:</w:t>
      </w:r>
    </w:p>
    <w:p>
      <w:pPr>
        <w:spacing w:after="0" w:line="169" w:lineRule="exact"/>
        <w:rPr>
          <w:sz w:val="20"/>
          <w:szCs w:val="20"/>
          <w:color w:val="auto"/>
        </w:rPr>
      </w:pPr>
    </w:p>
    <w:p>
      <w:pPr>
        <w:ind w:left="620" w:hanging="616"/>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Krystal Biotech, Inc.;</w:t>
      </w:r>
    </w:p>
    <w:p>
      <w:pPr>
        <w:spacing w:after="0" w:line="169" w:lineRule="exact"/>
        <w:rPr>
          <w:rFonts w:ascii="Times New Roman" w:cs="Times New Roman" w:eastAsia="Times New Roman" w:hAnsi="Times New Roman"/>
          <w:sz w:val="17"/>
          <w:szCs w:val="17"/>
          <w:color w:val="auto"/>
        </w:rPr>
      </w:pPr>
    </w:p>
    <w:p>
      <w:pPr>
        <w:ind w:left="620" w:right="20" w:hanging="616"/>
        <w:spacing w:after="0" w:line="294"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left="620" w:right="520" w:hanging="616"/>
        <w:spacing w:after="0" w:line="294"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620" w:right="100" w:hanging="616"/>
        <w:spacing w:after="0" w:line="274"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7"/>
          <w:szCs w:val="17"/>
          <w:color w:val="auto"/>
        </w:rPr>
      </w:pPr>
    </w:p>
    <w:p>
      <w:pPr>
        <w:ind w:left="1260" w:right="140" w:hanging="631"/>
        <w:spacing w:after="0" w:line="274" w:lineRule="auto"/>
        <w:tabs>
          <w:tab w:leader="none" w:pos="125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7"/>
          <w:szCs w:val="17"/>
          <w:color w:val="auto"/>
        </w:rPr>
      </w:pPr>
    </w:p>
    <w:p>
      <w:pPr>
        <w:ind w:left="1260" w:right="440" w:hanging="631"/>
        <w:spacing w:after="0" w:line="274" w:lineRule="auto"/>
        <w:tabs>
          <w:tab w:leader="none" w:pos="12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7"/>
          <w:szCs w:val="17"/>
          <w:color w:val="auto"/>
        </w:rPr>
      </w:pPr>
    </w:p>
    <w:p>
      <w:pPr>
        <w:jc w:val="both"/>
        <w:ind w:left="1260" w:right="600" w:hanging="631"/>
        <w:spacing w:after="0" w:line="294" w:lineRule="auto"/>
        <w:tabs>
          <w:tab w:leader="none" w:pos="125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1260" w:right="160" w:hanging="631"/>
        <w:spacing w:after="0" w:line="274" w:lineRule="auto"/>
        <w:tabs>
          <w:tab w:leader="none" w:pos="12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7"/>
          <w:szCs w:val="17"/>
          <w:color w:val="auto"/>
        </w:rPr>
      </w:pPr>
    </w:p>
    <w:p>
      <w:pPr>
        <w:ind w:left="620" w:right="220" w:hanging="616"/>
        <w:spacing w:after="0" w:line="294"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1260" w:right="60" w:hanging="631"/>
        <w:spacing w:after="0" w:line="294" w:lineRule="auto"/>
        <w:tabs>
          <w:tab w:leader="none" w:pos="125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1260" w:hanging="631"/>
        <w:spacing w:after="0" w:line="294" w:lineRule="auto"/>
        <w:tabs>
          <w:tab w:leader="none" w:pos="12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3, 2025</w:t>
            </w:r>
          </w:p>
        </w:tc>
        <w:tc>
          <w:tcPr>
            <w:tcW w:w="7300" w:type="dxa"/>
            <w:vAlign w:val="bottom"/>
            <w:gridSpan w:val="2"/>
          </w:tcPr>
          <w:p>
            <w:pPr>
              <w:ind w:left="2180"/>
              <w:spacing w:after="0"/>
              <w:rPr>
                <w:sz w:val="20"/>
                <w:szCs w:val="20"/>
                <w:color w:val="auto"/>
              </w:rPr>
            </w:pPr>
            <w:r>
              <w:rPr>
                <w:rFonts w:ascii="Times New Roman" w:cs="Times New Roman" w:eastAsia="Times New Roman" w:hAnsi="Times New Roman"/>
                <w:sz w:val="17"/>
                <w:szCs w:val="17"/>
                <w:color w:val="auto"/>
              </w:rPr>
              <w:t>By:   /s/ Krish S. Krishnan</w:t>
            </w:r>
          </w:p>
        </w:tc>
      </w:tr>
      <w:tr>
        <w:trPr>
          <w:trHeight w:val="209"/>
        </w:trPr>
        <w:tc>
          <w:tcPr>
            <w:tcW w:w="38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Krish S. Krishnan</w:t>
            </w:r>
          </w:p>
        </w:tc>
      </w:tr>
      <w:tr>
        <w:trPr>
          <w:trHeight w:val="227"/>
        </w:trPr>
        <w:tc>
          <w:tcPr>
            <w:tcW w:w="38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ectPr>
          <w:pgSz w:w="11900" w:h="16838" w:orient="portrait"/>
          <w:cols w:equalWidth="0" w:num="1">
            <w:col w:w="11240"/>
          </w:cols>
          <w:pgMar w:left="320" w:top="86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Kathryn A. Romano, certify that:</w:t>
      </w:r>
    </w:p>
    <w:p>
      <w:pPr>
        <w:spacing w:after="0" w:line="169" w:lineRule="exact"/>
        <w:rPr>
          <w:sz w:val="20"/>
          <w:szCs w:val="20"/>
          <w:color w:val="auto"/>
        </w:rPr>
      </w:pPr>
    </w:p>
    <w:p>
      <w:pPr>
        <w:ind w:left="620" w:hanging="616"/>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Krystal Biotech, Inc.;</w:t>
      </w:r>
    </w:p>
    <w:p>
      <w:pPr>
        <w:spacing w:after="0" w:line="169" w:lineRule="exact"/>
        <w:rPr>
          <w:rFonts w:ascii="Times New Roman" w:cs="Times New Roman" w:eastAsia="Times New Roman" w:hAnsi="Times New Roman"/>
          <w:sz w:val="17"/>
          <w:szCs w:val="17"/>
          <w:color w:val="auto"/>
        </w:rPr>
      </w:pPr>
    </w:p>
    <w:p>
      <w:pPr>
        <w:ind w:left="620" w:right="20" w:hanging="616"/>
        <w:spacing w:after="0" w:line="294"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left="620" w:right="520" w:hanging="616"/>
        <w:spacing w:after="0" w:line="294"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620" w:right="120" w:hanging="616"/>
        <w:spacing w:after="0" w:line="274"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7"/>
          <w:szCs w:val="17"/>
          <w:color w:val="auto"/>
        </w:rPr>
      </w:pPr>
    </w:p>
    <w:p>
      <w:pPr>
        <w:ind w:left="1260" w:right="140" w:hanging="631"/>
        <w:spacing w:after="0" w:line="274" w:lineRule="auto"/>
        <w:tabs>
          <w:tab w:leader="none" w:pos="125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7"/>
          <w:szCs w:val="17"/>
          <w:color w:val="auto"/>
        </w:rPr>
      </w:pPr>
    </w:p>
    <w:p>
      <w:pPr>
        <w:ind w:left="1260" w:right="440" w:hanging="631"/>
        <w:spacing w:after="0" w:line="274" w:lineRule="auto"/>
        <w:tabs>
          <w:tab w:leader="none" w:pos="126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7"/>
          <w:szCs w:val="17"/>
          <w:color w:val="auto"/>
        </w:rPr>
      </w:pPr>
    </w:p>
    <w:p>
      <w:pPr>
        <w:jc w:val="both"/>
        <w:ind w:left="1260" w:right="600" w:hanging="631"/>
        <w:spacing w:after="0" w:line="294" w:lineRule="auto"/>
        <w:tabs>
          <w:tab w:leader="none" w:pos="125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1260" w:right="160" w:hanging="631"/>
        <w:spacing w:after="0" w:line="274" w:lineRule="auto"/>
        <w:tabs>
          <w:tab w:leader="none" w:pos="126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7"/>
          <w:szCs w:val="17"/>
          <w:color w:val="auto"/>
        </w:rPr>
      </w:pPr>
    </w:p>
    <w:p>
      <w:pPr>
        <w:ind w:left="620" w:right="220" w:hanging="616"/>
        <w:spacing w:after="0" w:line="294"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1260" w:right="60" w:hanging="631"/>
        <w:spacing w:after="0" w:line="294" w:lineRule="auto"/>
        <w:tabs>
          <w:tab w:leader="none" w:pos="125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1260" w:hanging="631"/>
        <w:spacing w:after="0" w:line="294" w:lineRule="auto"/>
        <w:tabs>
          <w:tab w:leader="none" w:pos="126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3, 2025</w:t>
            </w:r>
          </w:p>
        </w:tc>
        <w:tc>
          <w:tcPr>
            <w:tcW w:w="7300" w:type="dxa"/>
            <w:vAlign w:val="bottom"/>
            <w:gridSpan w:val="2"/>
          </w:tcPr>
          <w:p>
            <w:pPr>
              <w:ind w:left="2180"/>
              <w:spacing w:after="0"/>
              <w:rPr>
                <w:sz w:val="20"/>
                <w:szCs w:val="20"/>
                <w:color w:val="auto"/>
              </w:rPr>
            </w:pPr>
            <w:r>
              <w:rPr>
                <w:rFonts w:ascii="Times New Roman" w:cs="Times New Roman" w:eastAsia="Times New Roman" w:hAnsi="Times New Roman"/>
                <w:sz w:val="17"/>
                <w:szCs w:val="17"/>
                <w:color w:val="auto"/>
              </w:rPr>
              <w:t>By:   /s/ Kathryn A. Romano</w:t>
            </w:r>
          </w:p>
        </w:tc>
      </w:tr>
      <w:tr>
        <w:trPr>
          <w:trHeight w:val="209"/>
        </w:trPr>
        <w:tc>
          <w:tcPr>
            <w:tcW w:w="38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Kathryn A. Romano</w:t>
            </w:r>
          </w:p>
        </w:tc>
      </w:tr>
      <w:tr>
        <w:trPr>
          <w:trHeight w:val="227"/>
        </w:trPr>
        <w:tc>
          <w:tcPr>
            <w:tcW w:w="38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Accounting Officer</w:t>
            </w:r>
          </w:p>
        </w:tc>
      </w:tr>
    </w:tbl>
    <w:p>
      <w:pPr>
        <w:sectPr>
          <w:pgSz w:w="11900" w:h="16838" w:orient="portrait"/>
          <w:cols w:equalWidth="0" w:num="1">
            <w:col w:w="11240"/>
          </w:cols>
          <w:pgMar w:left="320" w:top="86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CHIEF ACCOUNTING OFFICER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I, Krish S. Krishnan, Chief Executive Officer, certify, pursuant to 18 U.S.C. Section 1350, as adopted pursuant to Section 906 of the Sarbanes-Oxley Act of 2002, that:</w:t>
      </w:r>
    </w:p>
    <w:p>
      <w:pPr>
        <w:spacing w:after="0" w:line="94" w:lineRule="exact"/>
        <w:rPr>
          <w:sz w:val="20"/>
          <w:szCs w:val="20"/>
          <w:color w:val="auto"/>
        </w:rPr>
      </w:pPr>
    </w:p>
    <w:p>
      <w:pPr>
        <w:ind w:left="620" w:right="260" w:hanging="303"/>
        <w:spacing w:after="0" w:line="294"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three months ended September 30, 2025, (the “ Periodic Report”) fully complies with the requirements of Section 13(a) or 15(d) of the Securities Exchange Act of 1934; and</w:t>
      </w:r>
    </w:p>
    <w:p>
      <w:pPr>
        <w:spacing w:after="0" w:line="94" w:lineRule="exact"/>
        <w:rPr>
          <w:rFonts w:ascii="Times New Roman" w:cs="Times New Roman" w:eastAsia="Times New Roman" w:hAnsi="Times New Roman"/>
          <w:sz w:val="17"/>
          <w:szCs w:val="17"/>
          <w:color w:val="auto"/>
        </w:rPr>
      </w:pPr>
    </w:p>
    <w:p>
      <w:pPr>
        <w:ind w:left="620" w:right="60" w:hanging="303"/>
        <w:spacing w:after="0" w:line="294"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contained in the Periodic Report fairly presents, in all material respects, the financial condition and results of operations of Krystal Biotech, Inc.</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3, 2025</w:t>
            </w:r>
          </w:p>
        </w:tc>
        <w:tc>
          <w:tcPr>
            <w:tcW w:w="2980" w:type="dxa"/>
            <w:vAlign w:val="bottom"/>
          </w:tcPr>
          <w:p>
            <w:pPr>
              <w:ind w:left="2180"/>
              <w:spacing w:after="0"/>
              <w:rPr>
                <w:sz w:val="20"/>
                <w:szCs w:val="20"/>
                <w:color w:val="auto"/>
              </w:rPr>
            </w:pPr>
            <w:r>
              <w:rPr>
                <w:rFonts w:ascii="Times New Roman" w:cs="Times New Roman" w:eastAsia="Times New Roman" w:hAnsi="Times New Roman"/>
                <w:sz w:val="17"/>
                <w:szCs w:val="17"/>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Krish S. Krishnan</w:t>
            </w:r>
          </w:p>
        </w:tc>
      </w:tr>
      <w:tr>
        <w:trPr>
          <w:trHeight w:val="209"/>
        </w:trPr>
        <w:tc>
          <w:tcPr>
            <w:tcW w:w="39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Krish S. Krishnan</w:t>
            </w:r>
          </w:p>
        </w:tc>
      </w:tr>
      <w:tr>
        <w:trPr>
          <w:trHeight w:val="227"/>
        </w:trPr>
        <w:tc>
          <w:tcPr>
            <w:tcW w:w="39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320"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color w:val="auto"/>
        </w:rPr>
        <w:t>I, Kathryn A. Romano, Chief Accounting Officer, certify, pursuant to 18 U.S.C. Section 1350, as adopted pursuant to Section 906 of the Sarbanes-Oxley Act of 2002, that:</w:t>
      </w:r>
    </w:p>
    <w:p>
      <w:pPr>
        <w:spacing w:after="0" w:line="94" w:lineRule="exact"/>
        <w:rPr>
          <w:sz w:val="20"/>
          <w:szCs w:val="20"/>
          <w:color w:val="auto"/>
        </w:rPr>
      </w:pPr>
    </w:p>
    <w:p>
      <w:pPr>
        <w:ind w:left="620" w:right="260" w:hanging="303"/>
        <w:spacing w:after="0" w:line="294"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three months ended September 30, 2025, (the “ Periodic Report”) fully complies with the requirements of Section 13(a) or 15(d) of the Securities Exchange Act of 1934; and</w:t>
      </w:r>
    </w:p>
    <w:p>
      <w:pPr>
        <w:spacing w:after="0" w:line="94" w:lineRule="exact"/>
        <w:rPr>
          <w:rFonts w:ascii="Times New Roman" w:cs="Times New Roman" w:eastAsia="Times New Roman" w:hAnsi="Times New Roman"/>
          <w:sz w:val="17"/>
          <w:szCs w:val="17"/>
          <w:color w:val="auto"/>
        </w:rPr>
      </w:pPr>
    </w:p>
    <w:p>
      <w:pPr>
        <w:ind w:left="620" w:right="60" w:hanging="303"/>
        <w:spacing w:after="0" w:line="294"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contained in the Periodic Report fairly presents, in all material respects, the financial condition and results of operations of Krystal Biotech, Inc.</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3, 2025</w:t>
            </w:r>
          </w:p>
        </w:tc>
        <w:tc>
          <w:tcPr>
            <w:tcW w:w="2980" w:type="dxa"/>
            <w:vAlign w:val="bottom"/>
          </w:tcPr>
          <w:p>
            <w:pPr>
              <w:ind w:left="2180"/>
              <w:spacing w:after="0"/>
              <w:rPr>
                <w:sz w:val="20"/>
                <w:szCs w:val="20"/>
                <w:color w:val="auto"/>
              </w:rPr>
            </w:pPr>
            <w:r>
              <w:rPr>
                <w:rFonts w:ascii="Times New Roman" w:cs="Times New Roman" w:eastAsia="Times New Roman" w:hAnsi="Times New Roman"/>
                <w:sz w:val="17"/>
                <w:szCs w:val="17"/>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Kathryn A. Romano</w:t>
            </w:r>
          </w:p>
        </w:tc>
      </w:tr>
      <w:tr>
        <w:trPr>
          <w:trHeight w:val="209"/>
        </w:trPr>
        <w:tc>
          <w:tcPr>
            <w:tcW w:w="39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Kathryn A. Romano</w:t>
            </w:r>
          </w:p>
        </w:tc>
      </w:tr>
      <w:tr>
        <w:trPr>
          <w:trHeight w:val="227"/>
        </w:trPr>
        <w:tc>
          <w:tcPr>
            <w:tcW w:w="39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Accounting Officer</w:t>
            </w:r>
          </w:p>
        </w:tc>
      </w:tr>
    </w:tbl>
    <w:p>
      <w:pPr>
        <w:spacing w:after="0" w:line="1" w:lineRule="exact"/>
        <w:rPr>
          <w:sz w:val="20"/>
          <w:szCs w:val="20"/>
          <w:color w:val="auto"/>
        </w:rPr>
      </w:pPr>
    </w:p>
    <w:sectPr>
      <w:pgSz w:w="11900" w:h="16838" w:orient="portrait"/>
      <w:cols w:equalWidth="0" w:num="1">
        <w:col w:w="11240"/>
      </w:cols>
      <w:pgMar w:left="320" w:top="8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1"/>
      <w:numFmt w:val="decimal"/>
      <w:start w:val="104"/>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2025-11-03T06:10:38Z</dcterms:created>
  <dcterms:modified xsi:type="dcterms:W3CDTF">2025-11-03T06:10:38Z</dcterms:modified>
</cp:coreProperties>
</file>