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626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263005"/>
                    </a:xfrm>
                    <a:prstGeom prst="rect">
                      <a:avLst/>
                    </a:prstGeom>
                    <a:noFill/>
                  </pic:spPr>
                </pic:pic>
              </a:graphicData>
            </a:graphic>
          </wp:anchor>
        </w:drawing>
      </w:r>
    </w:p>
    <w:p>
      <w:pPr>
        <w:spacing w:after="0" w:line="1086" w:lineRule="exact"/>
        <w:rPr>
          <w:sz w:val="24"/>
          <w:szCs w:val="24"/>
          <w:color w:val="auto"/>
        </w:rPr>
      </w:pPr>
    </w:p>
    <w:p>
      <w:pPr>
        <w:sectPr>
          <w:pgSz w:w="11900" w:h="16908" w:orient="portrait"/>
          <w:cols w:equalWidth="0" w:num="2">
            <w:col w:w="2340" w:space="32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ROMANO KATHRYN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KRYSTAL BIOTECH,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2100 WHARTON STREET, SUITE 701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Krystal Biotech,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KRYS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02/27/2026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41"/>
        <w:spacing w:after="0"/>
        <w:rPr>
          <w:sz w:val="20"/>
          <w:szCs w:val="20"/>
          <w:color w:val="auto"/>
        </w:rPr>
      </w:pPr>
      <w:r>
        <w:rPr>
          <w:rFonts w:ascii="Times New Roman" w:cs="Times New Roman" w:eastAsia="Times New Roman" w:hAnsi="Times New Roman"/>
          <w:sz w:val="16"/>
          <w:szCs w:val="16"/>
          <w:color w:val="0000FF"/>
        </w:rPr>
        <w:t>Chief Accounting Officer</w:t>
      </w:r>
    </w:p>
    <w:p>
      <w:pPr>
        <w:spacing w:after="0" w:line="387" w:lineRule="exact"/>
        <w:rPr>
          <w:sz w:val="24"/>
          <w:szCs w:val="24"/>
          <w:color w:val="auto"/>
        </w:rPr>
      </w:pPr>
    </w:p>
    <w:p>
      <w:pPr>
        <w:sectPr>
          <w:pgSz w:w="11900" w:h="16908" w:orient="portrait"/>
          <w:cols w:equalWidth="0" w:num="3">
            <w:col w:w="3180" w:space="720"/>
            <w:col w:w="3119" w:space="720"/>
            <w:col w:w="3341"/>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00" w:type="dxa"/>
            <w:vAlign w:val="bottom"/>
          </w:tcPr>
          <w:p>
            <w:pPr>
              <w:ind w:left="32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166"/>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0" w:type="dxa"/>
            <w:vAlign w:val="bottom"/>
          </w:tcPr>
          <w:p>
            <w:pPr>
              <w:ind w:left="3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88"/>
        </w:trPr>
        <w:tc>
          <w:tcPr>
            <w:tcW w:w="1960" w:type="dxa"/>
            <w:vAlign w:val="bottom"/>
            <w:gridSpan w:val="2"/>
            <w:vMerge w:val="continue"/>
          </w:tcPr>
          <w:p>
            <w:pPr>
              <w:spacing w:after="0"/>
              <w:rPr>
                <w:sz w:val="7"/>
                <w:szCs w:val="7"/>
                <w:color w:val="auto"/>
              </w:rPr>
            </w:pPr>
          </w:p>
        </w:tc>
        <w:tc>
          <w:tcPr>
            <w:tcW w:w="17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200" w:type="dxa"/>
            <w:vAlign w:val="bottom"/>
            <w:vMerge w:val="restart"/>
          </w:tcPr>
          <w:p>
            <w:pPr>
              <w:ind w:left="8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PITTSBURGH   PA</w:t>
            </w:r>
          </w:p>
        </w:tc>
        <w:tc>
          <w:tcPr>
            <w:tcW w:w="1720" w:type="dxa"/>
            <w:vAlign w:val="bottom"/>
            <w:vMerge w:val="restart"/>
          </w:tcPr>
          <w:p>
            <w:pPr>
              <w:jc w:val="right"/>
              <w:ind w:right="698"/>
              <w:spacing w:after="0"/>
              <w:rPr>
                <w:sz w:val="20"/>
                <w:szCs w:val="20"/>
                <w:color w:val="auto"/>
              </w:rPr>
            </w:pPr>
            <w:r>
              <w:rPr>
                <w:rFonts w:ascii="Times New Roman" w:cs="Times New Roman" w:eastAsia="Times New Roman" w:hAnsi="Times New Roman"/>
                <w:sz w:val="16"/>
                <w:szCs w:val="16"/>
                <w:color w:val="0000FF"/>
              </w:rPr>
              <w:t>15203</w:t>
            </w:r>
          </w:p>
        </w:tc>
        <w:tc>
          <w:tcPr>
            <w:tcW w:w="366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3660" w:type="dxa"/>
            <w:vAlign w:val="bottom"/>
          </w:tcPr>
          <w:p>
            <w:pPr>
              <w:spacing w:after="0"/>
              <w:rPr>
                <w:sz w:val="9"/>
                <w:szCs w:val="9"/>
                <w:color w:val="auto"/>
              </w:rPr>
            </w:pPr>
          </w:p>
        </w:tc>
        <w:tc>
          <w:tcPr>
            <w:tcW w:w="3200" w:type="dxa"/>
            <w:vAlign w:val="bottom"/>
            <w:vMerge w:val="restart"/>
          </w:tcPr>
          <w:p>
            <w:pPr>
              <w:ind w:left="8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40" w:type="dxa"/>
            <w:vAlign w:val="bottom"/>
            <w:tcBorders>
              <w:bottom w:val="single" w:sz="8" w:color="9A9A9A"/>
            </w:tcBorders>
          </w:tcPr>
          <w:p>
            <w:pPr>
              <w:spacing w:after="0"/>
              <w:rPr>
                <w:sz w:val="5"/>
                <w:szCs w:val="5"/>
                <w:color w:val="auto"/>
              </w:rPr>
            </w:pPr>
          </w:p>
        </w:tc>
        <w:tc>
          <w:tcPr>
            <w:tcW w:w="1720" w:type="dxa"/>
            <w:vAlign w:val="bottom"/>
            <w:tcBorders>
              <w:bottom w:val="single" w:sz="8" w:color="9A9A9A"/>
            </w:tcBorders>
          </w:tcPr>
          <w:p>
            <w:pPr>
              <w:spacing w:after="0"/>
              <w:rPr>
                <w:sz w:val="5"/>
                <w:szCs w:val="5"/>
                <w:color w:val="auto"/>
              </w:rPr>
            </w:pPr>
          </w:p>
        </w:tc>
        <w:tc>
          <w:tcPr>
            <w:tcW w:w="3660" w:type="dxa"/>
            <w:vAlign w:val="bottom"/>
          </w:tcPr>
          <w:p>
            <w:pPr>
              <w:spacing w:after="0"/>
              <w:rPr>
                <w:sz w:val="5"/>
                <w:szCs w:val="5"/>
                <w:color w:val="auto"/>
              </w:rPr>
            </w:pPr>
          </w:p>
        </w:tc>
        <w:tc>
          <w:tcPr>
            <w:tcW w:w="3200" w:type="dxa"/>
            <w:vAlign w:val="bottom"/>
            <w:vMerge w:val="restart"/>
          </w:tcPr>
          <w:p>
            <w:pPr>
              <w:ind w:left="8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7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gridSpan w:val="2"/>
          </w:tcPr>
          <w:p>
            <w:pPr>
              <w:jc w:val="center"/>
              <w:ind w:left="511"/>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02/27/2026</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6"/>
              </w:rPr>
              <w:t>7,500</w:t>
            </w:r>
            <w:r>
              <w:rPr>
                <w:rFonts w:ascii="Times New Roman" w:cs="Times New Roman" w:eastAsia="Times New Roman" w:hAnsi="Times New Roman"/>
                <w:sz w:val="20"/>
                <w:szCs w:val="20"/>
                <w:color w:val="008000"/>
                <w:w w:val="96"/>
                <w:vertAlign w:val="superscript"/>
              </w:rPr>
              <w:t>(1)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26,068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02/27/2026</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6"/>
              </w:rPr>
              <w:t>3,262</w:t>
            </w:r>
            <w:r>
              <w:rPr>
                <w:rFonts w:ascii="Times New Roman" w:cs="Times New Roman" w:eastAsia="Times New Roman" w:hAnsi="Times New Roman"/>
                <w:sz w:val="20"/>
                <w:szCs w:val="20"/>
                <w:color w:val="008000"/>
                <w:w w:val="96"/>
                <w:vertAlign w:val="superscript"/>
              </w:rPr>
              <w:t>(2)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275.64</w:t>
            </w:r>
            <w:r>
              <w:rPr>
                <w:rFonts w:ascii="Times New Roman" w:cs="Times New Roman" w:eastAsia="Times New Roman" w:hAnsi="Times New Roman"/>
                <w:sz w:val="20"/>
                <w:szCs w:val="20"/>
                <w:color w:val="008000"/>
                <w:w w:val="96"/>
                <w:vertAlign w:val="superscript"/>
              </w:rPr>
              <w:t>(3)</w:t>
            </w:r>
          </w:p>
        </w:tc>
        <w:tc>
          <w:tcPr>
            <w:tcW w:w="124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22,806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02/27/2026</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5"/>
              </w:rPr>
              <w:t>550</w:t>
            </w:r>
            <w:r>
              <w:rPr>
                <w:rFonts w:ascii="Times New Roman" w:cs="Times New Roman" w:eastAsia="Times New Roman" w:hAnsi="Times New Roman"/>
                <w:sz w:val="20"/>
                <w:szCs w:val="20"/>
                <w:color w:val="008000"/>
                <w:w w:val="95"/>
                <w:vertAlign w:val="superscript"/>
              </w:rPr>
              <w:t>(4)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23,356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02/27/2026</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5"/>
              </w:rPr>
              <w:t>240</w:t>
            </w:r>
            <w:r>
              <w:rPr>
                <w:rFonts w:ascii="Times New Roman" w:cs="Times New Roman" w:eastAsia="Times New Roman" w:hAnsi="Times New Roman"/>
                <w:sz w:val="20"/>
                <w:szCs w:val="20"/>
                <w:color w:val="008000"/>
                <w:w w:val="95"/>
                <w:vertAlign w:val="superscript"/>
              </w:rPr>
              <w:t>(5)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275.64</w:t>
            </w:r>
            <w:r>
              <w:rPr>
                <w:rFonts w:ascii="Times New Roman" w:cs="Times New Roman" w:eastAsia="Times New Roman" w:hAnsi="Times New Roman"/>
                <w:sz w:val="20"/>
                <w:szCs w:val="20"/>
                <w:color w:val="008000"/>
                <w:w w:val="96"/>
                <w:vertAlign w:val="superscript"/>
              </w:rPr>
              <w:t>(3)</w:t>
            </w:r>
          </w:p>
        </w:tc>
        <w:tc>
          <w:tcPr>
            <w:tcW w:w="124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23,116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03/02/2026</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w w:val="86"/>
                <w:vertAlign w:val="subscript"/>
              </w:rPr>
              <w:t>750</w:t>
            </w:r>
            <w:r>
              <w:rPr>
                <w:rFonts w:ascii="Times New Roman" w:cs="Times New Roman" w:eastAsia="Times New Roman" w:hAnsi="Times New Roman"/>
                <w:sz w:val="10"/>
                <w:szCs w:val="10"/>
                <w:color w:val="008000"/>
                <w:w w:val="86"/>
              </w:rPr>
              <w:t>(6)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267.6</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22,366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w w:val="99"/>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02/27/2026</w:t>
            </w:r>
          </w:p>
        </w:tc>
        <w:tc>
          <w:tcPr>
            <w:tcW w:w="110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w w:val="88"/>
              </w:rPr>
              <w:t>7,500</w:t>
            </w:r>
          </w:p>
        </w:tc>
        <w:tc>
          <w:tcPr>
            <w:tcW w:w="760" w:type="dxa"/>
            <w:vAlign w:val="bottom"/>
            <w:vMerge w:val="restart"/>
          </w:tcPr>
          <w:p>
            <w:pPr>
              <w:jc w:val="center"/>
              <w:ind w:left="63"/>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0"/>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7,500</w:t>
            </w:r>
          </w:p>
        </w:tc>
        <w:tc>
          <w:tcPr>
            <w:tcW w:w="40" w:type="dxa"/>
            <w:vAlign w:val="bottom"/>
          </w:tcPr>
          <w:p>
            <w:pPr>
              <w:spacing w:after="0"/>
              <w:rPr>
                <w:sz w:val="15"/>
                <w:szCs w:val="15"/>
                <w:color w:val="auto"/>
              </w:rPr>
            </w:pPr>
          </w:p>
        </w:tc>
        <w:tc>
          <w:tcPr>
            <w:tcW w:w="6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22"/>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02/27/2026</w:t>
            </w:r>
          </w:p>
        </w:tc>
        <w:tc>
          <w:tcPr>
            <w:tcW w:w="110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550</w:t>
            </w:r>
          </w:p>
        </w:tc>
        <w:tc>
          <w:tcPr>
            <w:tcW w:w="60" w:type="dxa"/>
            <w:vAlign w:val="bottom"/>
          </w:tcPr>
          <w:p>
            <w:pPr>
              <w:spacing w:after="0"/>
              <w:rPr>
                <w:sz w:val="15"/>
                <w:szCs w:val="15"/>
                <w:color w:val="auto"/>
              </w:rPr>
            </w:pPr>
          </w:p>
        </w:tc>
        <w:tc>
          <w:tcPr>
            <w:tcW w:w="760" w:type="dxa"/>
            <w:vAlign w:val="bottom"/>
            <w:vMerge w:val="restart"/>
          </w:tcPr>
          <w:p>
            <w:pPr>
              <w:jc w:val="center"/>
              <w:ind w:left="63"/>
              <w:spacing w:after="0"/>
              <w:rPr>
                <w:sz w:val="20"/>
                <w:szCs w:val="20"/>
                <w:color w:val="auto"/>
              </w:rPr>
            </w:pPr>
            <w:r>
              <w:rPr>
                <w:rFonts w:ascii="Times New Roman" w:cs="Times New Roman" w:eastAsia="Times New Roman" w:hAnsi="Times New Roman"/>
                <w:sz w:val="10"/>
                <w:szCs w:val="10"/>
                <w:color w:val="008000"/>
              </w:rPr>
              <w:t>(4)</w:t>
            </w:r>
          </w:p>
        </w:tc>
        <w:tc>
          <w:tcPr>
            <w:tcW w:w="76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0"/>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550</w:t>
            </w:r>
          </w:p>
        </w:tc>
        <w:tc>
          <w:tcPr>
            <w:tcW w:w="40" w:type="dxa"/>
            <w:vAlign w:val="bottom"/>
          </w:tcPr>
          <w:p>
            <w:pPr>
              <w:spacing w:after="0"/>
              <w:rPr>
                <w:sz w:val="15"/>
                <w:szCs w:val="15"/>
                <w:color w:val="auto"/>
              </w:rPr>
            </w:pPr>
          </w:p>
        </w:tc>
        <w:tc>
          <w:tcPr>
            <w:tcW w:w="6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5"/>
              </w:rPr>
              <w:t>1,650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275.64</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02/27/2026</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3"/>
                <w:szCs w:val="13"/>
                <w:color w:val="0000FF"/>
              </w:rPr>
              <w:t>13,575</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center"/>
              <w:ind w:left="63"/>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02/26/2036</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0"/>
              </w:rPr>
              <w:t>Common</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13,575</w:t>
            </w:r>
          </w:p>
        </w:tc>
        <w:tc>
          <w:tcPr>
            <w:tcW w:w="40" w:type="dxa"/>
            <w:vAlign w:val="bottom"/>
          </w:tcPr>
          <w:p>
            <w:pPr>
              <w:spacing w:after="0"/>
              <w:rPr>
                <w:sz w:val="16"/>
                <w:szCs w:val="16"/>
                <w:color w:val="auto"/>
              </w:rPr>
            </w:pPr>
          </w:p>
        </w:tc>
        <w:tc>
          <w:tcPr>
            <w:tcW w:w="660" w:type="dxa"/>
            <w:vAlign w:val="bottom"/>
            <w:gridSpan w:val="2"/>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13,575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ind w:left="180"/>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02/27/2026</w:t>
            </w:r>
          </w:p>
        </w:tc>
        <w:tc>
          <w:tcPr>
            <w:tcW w:w="110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620" w:type="dxa"/>
            <w:vAlign w:val="bottom"/>
            <w:vMerge w:val="restart"/>
          </w:tcPr>
          <w:p>
            <w:pPr>
              <w:jc w:val="center"/>
              <w:ind w:right="62"/>
              <w:spacing w:after="0"/>
              <w:rPr>
                <w:sz w:val="20"/>
                <w:szCs w:val="20"/>
                <w:color w:val="auto"/>
              </w:rPr>
            </w:pPr>
            <w:r>
              <w:rPr>
                <w:rFonts w:ascii="Times New Roman" w:cs="Times New Roman" w:eastAsia="Times New Roman" w:hAnsi="Times New Roman"/>
                <w:sz w:val="13"/>
                <w:szCs w:val="13"/>
                <w:color w:val="0000FF"/>
              </w:rPr>
              <w:t>5,442</w:t>
            </w:r>
            <w:r>
              <w:rPr>
                <w:rFonts w:ascii="Times New Roman" w:cs="Times New Roman" w:eastAsia="Times New Roman" w:hAnsi="Times New Roman"/>
                <w:sz w:val="20"/>
                <w:szCs w:val="20"/>
                <w:color w:val="008000"/>
                <w:vertAlign w:val="superscript"/>
              </w:rPr>
              <w:t>(9)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3"/>
              <w:spacing w:after="0"/>
              <w:rPr>
                <w:sz w:val="20"/>
                <w:szCs w:val="20"/>
                <w:color w:val="auto"/>
              </w:rPr>
            </w:pPr>
            <w:r>
              <w:rPr>
                <w:rFonts w:ascii="Times New Roman" w:cs="Times New Roman" w:eastAsia="Times New Roman" w:hAnsi="Times New Roman"/>
                <w:sz w:val="10"/>
                <w:szCs w:val="10"/>
                <w:color w:val="008000"/>
              </w:rPr>
              <w:t>(10)</w:t>
            </w:r>
          </w:p>
        </w:tc>
        <w:tc>
          <w:tcPr>
            <w:tcW w:w="76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0"/>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5,442</w:t>
            </w:r>
          </w:p>
        </w:tc>
        <w:tc>
          <w:tcPr>
            <w:tcW w:w="40" w:type="dxa"/>
            <w:vAlign w:val="bottom"/>
          </w:tcPr>
          <w:p>
            <w:pPr>
              <w:spacing w:after="0"/>
              <w:rPr>
                <w:sz w:val="15"/>
                <w:szCs w:val="15"/>
                <w:color w:val="auto"/>
              </w:rPr>
            </w:pPr>
          </w:p>
        </w:tc>
        <w:tc>
          <w:tcPr>
            <w:tcW w:w="6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5"/>
              </w:rPr>
              <w:t>5,442</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-2652395</wp:posOffset>
            </wp:positionV>
            <wp:extent cx="28575" cy="2657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574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00" w:hanging="2"/>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15,000 performance stock units ("PSUs") were granted on February 29, 2024. Each PSU represented a contingent right to receive one share of the Company's common stock, subject to the achievement of certain performance criteria during the year ended December 31 2024, as approved by the Company's Compensation Committee, and the Reporting Person's continued service to the Company on each applicable vesting date following such achievement. The PSUs vested ratably over a two-year period. All of the performance criteria were achieved and the remaining one-half of the PSUs granted, or 7,500 PSUs, vested on February 27, 2026.</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surrendered to the Company for tax withholding upon the vesting of 7,500 RSUs on February 27, 2026.</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closing price on February 27, 2026 of the Company's common stock on the Nasdaq Global Select Market.</w:t>
      </w:r>
    </w:p>
    <w:p>
      <w:pPr>
        <w:spacing w:after="0" w:line="38"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2,200 restricted stock units ("RSUs") were granted on February 28, 2025. Each RSU represents a contingent right to receive one share of the Company's common stock, subject to the Reporting Person's continued service to the Company on each applicable vesting date. The RSUs vest ratably over a four-year period with the first installment, or 550 RSUs, vesting on February 27, 2026.</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surrendered to the Company for tax withholding upon the vesting of 550 RSUs on February 27, 2026.</w:t>
      </w:r>
    </w:p>
    <w:p>
      <w:pPr>
        <w:spacing w:after="0" w:line="38" w:lineRule="exact"/>
        <w:rPr>
          <w:rFonts w:ascii="Times New Roman" w:cs="Times New Roman" w:eastAsia="Times New Roman" w:hAnsi="Times New Roman"/>
          <w:sz w:val="13"/>
          <w:szCs w:val="13"/>
          <w:color w:val="008000"/>
        </w:rPr>
      </w:pPr>
    </w:p>
    <w:p>
      <w:pPr>
        <w:ind w:left="40" w:right="2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made pursuant to a Rule 10b5-1 trading plan adopted by the Reporting Person on November 6, 2025. The Rule 10b5-1 trading plan terminated upon completion of the sale of the shares of the Company's common stock reported on this Form 4, which represented the completion of all sales of the Company's common stock subject to the Rule 10b5-1 trading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four equal annual installments beginning on February 27, 2027.</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 subject to the Reporting Person's continued service to the Company on each applicable vesting date.</w:t>
      </w:r>
    </w:p>
    <w:p>
      <w:pPr>
        <w:spacing w:after="0" w:line="38"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RSUs in this column represents the number of shares of common stock the Reporting Person will receive assuming the Reporting Person's continued service to the Company on all applicable vesting dates.</w:t>
      </w:r>
    </w:p>
    <w:p>
      <w:pPr>
        <w:spacing w:after="0" w:line="21" w:lineRule="exact"/>
        <w:rPr>
          <w:rFonts w:ascii="Times New Roman" w:cs="Times New Roman" w:eastAsia="Times New Roman" w:hAnsi="Times New Roman"/>
          <w:sz w:val="13"/>
          <w:szCs w:val="13"/>
          <w:color w:val="008000"/>
        </w:rPr>
      </w:pPr>
    </w:p>
    <w:p>
      <w:pPr>
        <w:ind w:left="220" w:hanging="182"/>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four equal annual installments with the first installment vesting on February 27, 2027.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Kathryn Romano</w:t>
            </w:r>
          </w:p>
        </w:tc>
        <w:tc>
          <w:tcPr>
            <w:tcW w:w="8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03/03/2026</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908" w:orient="portrait"/>
          <w:cols w:equalWidth="0" w:num="1">
            <w:col w:w="11080"/>
          </w:cols>
          <w:pgMar w:left="460" w:top="215" w:right="359" w:bottom="0" w:gutter="0" w:footer="0" w:header="0"/>
          <w:type w:val="continuous"/>
        </w:sectPr>
      </w:pPr>
    </w:p>
    <w:bookmarkStart w:id="1" w:name="page2"/>
    <w:bookmarkEnd w:id="1"/>
    <w:p>
      <w:pPr>
        <w:jc w:val="both"/>
        <w:ind w:left="2" w:right="2719" w:hanging="2"/>
        <w:spacing w:after="0" w:line="327"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1385" TargetMode="External"/><Relationship Id="rId14" Type="http://schemas.openxmlformats.org/officeDocument/2006/relationships/hyperlink" Target="http://www.sec.gov/cgi-bin/browse-edgar?action=getcompany&amp;CIK=0001711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2026-03-03T17:36:07Z</dcterms:created>
  <dcterms:modified xsi:type="dcterms:W3CDTF">2026-03-03T17:36:07Z</dcterms:modified>
</cp:coreProperties>
</file>