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6156.xml.htm"/>
      <w:bookmarkStart w:id="1" w:name="kswkform4_17867461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ROSSI DINO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KRYSTAL BIOTECH,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2100 WHARTON STREET, SUITE 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Krystal Biotech,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KRYS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3,691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341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325.5985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74,659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2,287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326.6028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72,372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5,226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327.3939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67,146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328.5152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65,459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7,428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329.6015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58,031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4,896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330.3558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53,135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3,095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331.4333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50,040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333.23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bona fide gift of Krystal Biotech, Inc.'s Common Stock to a charitable donor-advised fund.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ranging from $325 to $325.96. The price reported above reflects the weighted average sale price. The Reporting Person hereby undertakes to provide upon request to the SEC staff, the issuer, or a security holder of the issuer, full information regarding the number of shares sold at each separate price within the range set forth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transaction was executed in multiple trades ranging from $326.04 to $326.98. The price reported above reflects the weighted average sale price. The Reporting Person hereby undertakes to provide upon request to the SEC staff, the issuer, or a security holder of the issuer, full information regarding the number of shares sold at each separate price within the range set forth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transaction was executed in multiple trades ranging from $327 to $327.99. The price reported above reflects the weighted average sale price. The Reporting Person hereby undertakes to provide upon request to the SEC staff, the issuer, or a security holder of the issuer, full information regarding the number of shares sold at each separate price within the range set forth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transaction was executed in multiple trades ranging from $328.01 to $328.99. The price reported above reflects the weighted average sale price. The Reporting Person hereby undertakes to provide upon request to the SEC staff, the issuer, or a security holder of the issuer, full information regarding the number of shares sold at each separate price within the range set forth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transaction was executed in multiple trades ranging from $329.01 to $329.99. The price reported above reflects the weighted average sale price. The Reporting Person hereby undertakes to provide upon request to the SEC staff, the issuer, or a security holder of the issuer, full information regarding the number of shares sold at each separate price within the range set forth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transaction was executed in multiple trades ranging from $330 to $330.99. The price reported above reflects the weighted average sale price. The Reporting Person hereby undertakes to provide upon request to the SEC staff, the issuer, or a security holder of the issuer, full information regarding the number of shares sold at each separate price within the range set forth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transaction was executed in multiple trades ranging from $331.02 to $331.99. The price reported above reflects the weighted average sale price. The Reporting Person hereby undertakes to provide upon request to the SEC staff, the issuer, or a security holder of the issuer, full information regarding the number of shares sold at each separate price within the range set forth herein.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Krish Krishnan, as attorney-in-fact for Dino A. Rossi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9059" TargetMode="External"/><Relationship Id="rId5" Type="http://schemas.openxmlformats.org/officeDocument/2006/relationships/hyperlink" Target="http://www.sec.gov/cgi-bin/browse-edgar?action=getcompany&amp;CIK=00017112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1101</Words>
  <Characters>5845</Characters>
  <CharactersWithSpaces>6807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